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rawings/drawing8.xml" ContentType="application/vnd.openxmlformats-officedocument.drawingml.chartshapes+xml"/>
  <Default Extension="jpeg" ContentType="image/jpeg"/>
  <Override PartName="/word/drawings/drawing6.xml" ContentType="application/vnd.openxmlformats-officedocument.drawingml.chartshapes+xml"/>
  <Override PartName="/word/drawings/drawing7.xml" ContentType="application/vnd.openxmlformats-officedocument.drawingml.chartshap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drawings/drawing3.xml" ContentType="application/vnd.openxmlformats-officedocument.drawingml.chartshapes+xml"/>
  <Override PartName="/word/drawings/drawing4.xml" ContentType="application/vnd.openxmlformats-officedocument.drawingml.chartshapes+xml"/>
  <Override PartName="/word/drawings/drawing5.xml" ContentType="application/vnd.openxmlformats-officedocument.drawingml.chartshapes+xml"/>
  <Override PartName="/word/charts/chart19.xml" ContentType="application/vnd.openxmlformats-officedocument.drawingml.chart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footer2.xml" ContentType="application/vnd.openxmlformats-officedocument.wordprocessingml.footer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26.xml" ContentType="application/vnd.openxmlformats-officedocument.drawingml.chart+xml"/>
  <Default Extension="gif" ContentType="image/gif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22.xml" ContentType="application/vnd.openxmlformats-officedocument.drawingml.chart+xml"/>
  <Default Extension="xlsx" ContentType="application/vnd.openxmlformats-officedocument.spreadsheetml.sheet"/>
  <Override PartName="/word/charts/chart23.xml" ContentType="application/vnd.openxmlformats-officedocument.drawingml.chart+xml"/>
  <Override PartName="/word/drawings/drawing10.xml" ContentType="application/vnd.openxmlformats-officedocument.drawingml.chartshap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header1.xml" ContentType="application/vnd.openxmlformats-officedocument.wordprocessingml.header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docProps/core.xml" ContentType="application/vnd.openxmlformats-package.core-properties+xml"/>
  <Default Extension="png" ContentType="image/png"/>
  <Override PartName="/word/drawings/drawing9.xml" ContentType="application/vnd.openxmlformats-officedocument.drawingml.chartshap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857" w:rsidRPr="004564DF" w:rsidRDefault="00295857" w:rsidP="004564DF">
      <w:pPr>
        <w:jc w:val="both"/>
        <w:rPr>
          <w:rFonts w:ascii="Times New Roman" w:hAnsi="Times New Roman"/>
          <w:sz w:val="24"/>
          <w:szCs w:val="24"/>
        </w:rPr>
      </w:pPr>
    </w:p>
    <w:p w:rsidR="004033AD" w:rsidRPr="004564DF" w:rsidRDefault="00BA155C" w:rsidP="004564D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3495675" cy="1962150"/>
            <wp:effectExtent l="19050" t="0" r="9525" b="0"/>
            <wp:docPr id="9" name="Obraz 1" descr="1354648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35464893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857" w:rsidRPr="004564DF" w:rsidRDefault="00BA155C" w:rsidP="004564D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rect id="_x0000_s1032" style="position:absolute;left:0;text-align:left;margin-left:13.15pt;margin-top:217.65pt;width:576.6pt;height:85.6pt;z-index:251654144;mso-height-percent:73;mso-position-horizontal-relative:page;mso-position-vertical-relative:page;mso-height-percent:73;v-text-anchor:middle" o:allowincell="f" fillcolor="#4f81bd" strokecolor="white" strokeweight="1pt">
            <v:fill color2="#365f91"/>
            <v:shadow color="#d8d8d8" offset="3pt,3pt" offset2="2pt,2pt"/>
            <v:textbox style="mso-next-textbox:#_x0000_s1032;mso-fit-shape-to-text:t" inset="14.4pt,,14.4pt">
              <w:txbxContent>
                <w:p w:rsidR="009364F5" w:rsidRPr="00295857" w:rsidRDefault="009364F5">
                  <w:pPr>
                    <w:pStyle w:val="Bezodstpw"/>
                    <w:jc w:val="right"/>
                    <w:rPr>
                      <w:rFonts w:ascii="Cambria" w:hAnsi="Cambria"/>
                      <w:color w:val="FFFFFF"/>
                      <w:sz w:val="44"/>
                      <w:szCs w:val="44"/>
                    </w:rPr>
                  </w:pPr>
                  <w:r w:rsidRPr="00295857">
                    <w:rPr>
                      <w:rFonts w:ascii="Cambria" w:hAnsi="Cambria"/>
                      <w:color w:val="FFFFFF"/>
                      <w:sz w:val="44"/>
                      <w:szCs w:val="44"/>
                    </w:rPr>
                    <w:t>Analiza wsparcia udzielonego przedsiębiorcom w ramach Regionalnego Programu Operacyjnego Województwa Śląskiego na lata 2007-2013</w:t>
                  </w:r>
                </w:p>
              </w:txbxContent>
            </v:textbox>
            <w10:wrap anchorx="page" anchory="page"/>
          </v:rect>
        </w:pict>
      </w:r>
    </w:p>
    <w:p w:rsidR="004033AD" w:rsidRPr="004564DF" w:rsidRDefault="00DC665F" w:rsidP="004564D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group id="_x0000_s1026" style="position:absolute;left:0;text-align:left;margin-left:2278.05pt;margin-top:0;width:237.85pt;height:841.55pt;z-index:251653120;mso-width-percent:400;mso-height-percent:1000;mso-position-horizontal:right;mso-position-horizontal-relative:page;mso-position-vertical:top;mso-position-vertical-relative:page;mso-width-percent:400;mso-height-percent:1000" coordorigin="7329" coordsize="4911,15840" o:allowincell="f">
            <v:group id="_x0000_s1027" style="position:absolute;left:7344;width:4896;height:15840;mso-width-percent:400;mso-height-percent:1000;mso-position-horizontal:right;mso-position-horizontal-relative:page;mso-position-vertical:top;mso-position-vertical-relative:page;mso-width-percent:400;mso-height-percent:1000" coordorigin="7560" coordsize="4700,15840" o:allowincell="f">
              <v:rect id="_x0000_s1028" style="position:absolute;left:7755;width:4505;height:15840;mso-height-percent:1000;mso-position-vertical:top;mso-position-vertical-relative:page;mso-height-percent:1000" fillcolor="#9bbb59" stroked="f" strokecolor="#d8d8d8">
                <v:fill color2="#bfbfbf" rotate="t"/>
              </v:rect>
              <v:rect id="_x0000_s1029" style="position:absolute;left:7560;top:8;width:195;height:15825;mso-height-percent:1000;mso-position-vertical-relative:page;mso-height-percent:1000;mso-width-relative:margin;v-text-anchor:middle" fillcolor="#9bbb59" stroked="f" strokecolor="white" strokeweight="1pt">
                <v:fill r:id="rId9" o:title="Light vertical" opacity="52429f" o:opacity2="52429f" type="pattern"/>
                <v:shadow color="#d8d8d8" offset="3pt,3pt" offset2="2pt,2pt"/>
              </v:rect>
            </v:group>
            <v:rect id="_x0000_s1030" style="position:absolute;left:7344;width:4896;height:3958;mso-width-percent:400;mso-height-percent:250;mso-position-horizontal:right;mso-position-horizontal-relative:page;mso-position-vertical:top;mso-position-vertical-relative:page;mso-width-percent:400;mso-height-percent:250;v-text-anchor:bottom" o:allowincell="f" filled="f" stroked="f" strokecolor="white" strokeweight="1pt">
              <v:fill opacity="52429f"/>
              <v:shadow color="#d8d8d8" offset="3pt,3pt" offset2="2pt,2pt"/>
              <v:textbox style="mso-next-textbox:#_x0000_s1030" inset="28.8pt,14.4pt,14.4pt,14.4pt">
                <w:txbxContent>
                  <w:p w:rsidR="009364F5" w:rsidRPr="00B13510" w:rsidRDefault="009364F5">
                    <w:pPr>
                      <w:pStyle w:val="Bezodstpw"/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</w:pPr>
                    <w:r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  <w:t>2012r.</w:t>
                    </w:r>
                  </w:p>
                </w:txbxContent>
              </v:textbox>
            </v:rect>
            <v:rect id="_x0000_s1031" style="position:absolute;left:7329;top:10658;width:4889;height:4462;mso-width-percent:400;mso-position-horizontal-relative:page;mso-position-vertical-relative:margin;mso-width-percent:400;v-text-anchor:bottom" o:allowincell="f" filled="f" stroked="f" strokecolor="white" strokeweight="1pt">
              <v:fill opacity="52429f"/>
              <v:shadow color="#d8d8d8" offset="3pt,3pt" offset2="2pt,2pt"/>
              <v:textbox style="mso-next-textbox:#_x0000_s1031" inset="28.8pt,14.4pt,14.4pt,14.4pt">
                <w:txbxContent>
                  <w:p w:rsidR="009364F5" w:rsidRPr="00B13510" w:rsidRDefault="009364F5">
                    <w:pPr>
                      <w:pStyle w:val="Bezodstpw"/>
                      <w:spacing w:line="360" w:lineRule="auto"/>
                      <w:rPr>
                        <w:color w:val="FFFFFF"/>
                      </w:rPr>
                    </w:pPr>
                  </w:p>
                </w:txbxContent>
              </v:textbox>
            </v:rect>
            <w10:wrap anchorx="page" anchory="page"/>
          </v:group>
        </w:pict>
      </w:r>
      <w:r w:rsidR="004564DF"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3495675" cy="2314575"/>
            <wp:effectExtent l="19050" t="0" r="9525" b="0"/>
            <wp:docPr id="2" name="Obraz 2" descr="1354649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3546494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3AD" w:rsidRPr="004564DF" w:rsidRDefault="004564DF" w:rsidP="004564D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3495675" cy="2257425"/>
            <wp:effectExtent l="19050" t="0" r="9525" b="0"/>
            <wp:docPr id="3" name="Obraz 3" descr="1354649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35464930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857" w:rsidRPr="004564DF" w:rsidRDefault="004564DF" w:rsidP="004564D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3495675" cy="2324100"/>
            <wp:effectExtent l="19050" t="0" r="9525" b="0"/>
            <wp:docPr id="4" name="Obraz 4" descr="1354649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35464974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857" w:rsidRPr="004564DF" w:rsidRDefault="00295857" w:rsidP="004564DF">
      <w:pPr>
        <w:jc w:val="both"/>
        <w:rPr>
          <w:rFonts w:ascii="Times New Roman" w:hAnsi="Times New Roman"/>
          <w:sz w:val="24"/>
          <w:szCs w:val="24"/>
        </w:rPr>
        <w:sectPr w:rsidR="00295857" w:rsidRPr="004564DF" w:rsidSect="00885A95">
          <w:footerReference w:type="first" r:id="rId13"/>
          <w:pgSz w:w="11906" w:h="16838"/>
          <w:pgMar w:top="284" w:right="1417" w:bottom="142" w:left="1417" w:header="708" w:footer="0" w:gutter="0"/>
          <w:cols w:space="708"/>
          <w:titlePg/>
          <w:docGrid w:linePitch="360"/>
        </w:sectPr>
      </w:pPr>
    </w:p>
    <w:p w:rsidR="00DE67CB" w:rsidRPr="004564DF" w:rsidRDefault="00DE67CB" w:rsidP="004564DF">
      <w:pPr>
        <w:pStyle w:val="Nagwekspisutreci"/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lastRenderedPageBreak/>
        <w:t>Spis treści</w:t>
      </w:r>
    </w:p>
    <w:p w:rsidR="00BA155C" w:rsidRDefault="00DC665F">
      <w:pPr>
        <w:pStyle w:val="Spistreci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r w:rsidRPr="004564DF">
        <w:rPr>
          <w:rFonts w:ascii="Times New Roman" w:hAnsi="Times New Roman"/>
          <w:sz w:val="24"/>
          <w:szCs w:val="24"/>
        </w:rPr>
        <w:fldChar w:fldCharType="begin"/>
      </w:r>
      <w:r w:rsidR="00DE67CB" w:rsidRPr="004564DF">
        <w:rPr>
          <w:rFonts w:ascii="Times New Roman" w:hAnsi="Times New Roman"/>
          <w:sz w:val="24"/>
          <w:szCs w:val="24"/>
        </w:rPr>
        <w:instrText xml:space="preserve"> TOC \o "1-3" \h \z \u </w:instrText>
      </w:r>
      <w:r w:rsidRPr="004564DF">
        <w:rPr>
          <w:rFonts w:ascii="Times New Roman" w:hAnsi="Times New Roman"/>
          <w:sz w:val="24"/>
          <w:szCs w:val="24"/>
        </w:rPr>
        <w:fldChar w:fldCharType="separate"/>
      </w:r>
      <w:hyperlink w:anchor="_Toc356809915" w:history="1">
        <w:r w:rsidR="00BA155C" w:rsidRPr="00690AD9">
          <w:rPr>
            <w:rStyle w:val="Hipercze"/>
            <w:rFonts w:ascii="Times New Roman" w:hAnsi="Times New Roman"/>
            <w:noProof/>
          </w:rPr>
          <w:t>1.</w:t>
        </w:r>
        <w:r w:rsidR="00BA155C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BA155C" w:rsidRPr="00690AD9">
          <w:rPr>
            <w:rStyle w:val="Hipercze"/>
            <w:rFonts w:ascii="Times New Roman" w:hAnsi="Times New Roman"/>
            <w:noProof/>
          </w:rPr>
          <w:t>Wstęp</w:t>
        </w:r>
        <w:r w:rsidR="00BA155C">
          <w:rPr>
            <w:noProof/>
            <w:webHidden/>
          </w:rPr>
          <w:tab/>
        </w:r>
        <w:r w:rsidR="00BA155C">
          <w:rPr>
            <w:noProof/>
            <w:webHidden/>
          </w:rPr>
          <w:fldChar w:fldCharType="begin"/>
        </w:r>
        <w:r w:rsidR="00BA155C">
          <w:rPr>
            <w:noProof/>
            <w:webHidden/>
          </w:rPr>
          <w:instrText xml:space="preserve"> PAGEREF _Toc356809915 \h </w:instrText>
        </w:r>
        <w:r w:rsidR="00BA155C">
          <w:rPr>
            <w:noProof/>
            <w:webHidden/>
          </w:rPr>
        </w:r>
        <w:r w:rsidR="00BA155C">
          <w:rPr>
            <w:noProof/>
            <w:webHidden/>
          </w:rPr>
          <w:fldChar w:fldCharType="separate"/>
        </w:r>
        <w:r w:rsidR="00BA155C">
          <w:rPr>
            <w:noProof/>
            <w:webHidden/>
          </w:rPr>
          <w:t>2</w:t>
        </w:r>
        <w:r w:rsidR="00BA155C"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16" w:history="1">
        <w:r w:rsidRPr="00690AD9">
          <w:rPr>
            <w:rStyle w:val="Hipercze"/>
            <w:rFonts w:ascii="Times New Roman" w:hAnsi="Times New Roman"/>
            <w:noProof/>
          </w:rPr>
          <w:t>2.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</w:rPr>
          <w:t>Stan wdrażania działań skierowanych do przedsiębiorców (wsparcie bezpośrednie)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17" w:history="1">
        <w:r w:rsidRPr="00690AD9">
          <w:rPr>
            <w:rStyle w:val="Hipercze"/>
            <w:rFonts w:ascii="Times New Roman" w:hAnsi="Times New Roman"/>
            <w:noProof/>
          </w:rPr>
          <w:t>3.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</w:rPr>
          <w:t>Rozmieszczenie terytorialne projektów przedsiębiorców realizowanych w ramach RPO WSL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18" w:history="1">
        <w:r w:rsidRPr="00690AD9">
          <w:rPr>
            <w:rStyle w:val="Hipercze"/>
            <w:rFonts w:ascii="Times New Roman" w:hAnsi="Times New Roman"/>
            <w:noProof/>
          </w:rPr>
          <w:t>3.1 Subregiony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left" w:pos="88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19" w:history="1">
        <w:r w:rsidRPr="00690AD9">
          <w:rPr>
            <w:rStyle w:val="Hipercze"/>
            <w:rFonts w:ascii="Times New Roman" w:hAnsi="Times New Roman"/>
            <w:noProof/>
          </w:rPr>
          <w:t>3.2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</w:rPr>
          <w:t>Powiaty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20" w:history="1">
        <w:r w:rsidRPr="00690AD9">
          <w:rPr>
            <w:rStyle w:val="Hipercze"/>
            <w:rFonts w:ascii="Times New Roman" w:hAnsi="Times New Roman"/>
            <w:noProof/>
          </w:rPr>
          <w:t>4.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</w:rPr>
          <w:t>Charakterystyka projektów przedsiębiorców realizowanych z udziałem środków RPO WSL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left" w:pos="88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21" w:history="1">
        <w:r w:rsidRPr="00690AD9">
          <w:rPr>
            <w:rStyle w:val="Hipercze"/>
            <w:rFonts w:ascii="Times New Roman" w:hAnsi="Times New Roman"/>
            <w:noProof/>
          </w:rPr>
          <w:t>4.1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</w:rPr>
          <w:t>Typy projektów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left" w:pos="88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22" w:history="1">
        <w:r w:rsidRPr="00690AD9">
          <w:rPr>
            <w:rStyle w:val="Hipercze"/>
            <w:rFonts w:ascii="Times New Roman" w:hAnsi="Times New Roman"/>
            <w:noProof/>
          </w:rPr>
          <w:t>4.2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</w:rPr>
          <w:t>Kategorie interwencji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left" w:pos="88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23" w:history="1">
        <w:r w:rsidRPr="00690AD9">
          <w:rPr>
            <w:rStyle w:val="Hipercze"/>
            <w:rFonts w:ascii="Times New Roman" w:hAnsi="Times New Roman"/>
            <w:noProof/>
          </w:rPr>
          <w:t>4.3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</w:rPr>
          <w:t>Wielkość przedsiębiorstw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24" w:history="1">
        <w:r w:rsidRPr="00690AD9">
          <w:rPr>
            <w:rStyle w:val="Hipercze"/>
            <w:rFonts w:ascii="Times New Roman" w:hAnsi="Times New Roman"/>
            <w:noProof/>
          </w:rPr>
          <w:t>5.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</w:rPr>
          <w:t>Analiza wdrażania działań skierowanych do przedsiębiorców w podziale  na sekcje PKD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left" w:pos="88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25" w:history="1">
        <w:r w:rsidRPr="00690AD9">
          <w:rPr>
            <w:rStyle w:val="Hipercze"/>
            <w:rFonts w:ascii="Times New Roman" w:hAnsi="Times New Roman"/>
            <w:noProof/>
            <w:lang w:eastAsia="pl-PL"/>
          </w:rPr>
          <w:t>5.1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  <w:lang w:eastAsia="pl-PL"/>
          </w:rPr>
          <w:t>Dominujące sekcje PKD projektów realizowanych przez przedsiębiorców w ramach RPO WSL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left" w:pos="88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26" w:history="1">
        <w:r w:rsidRPr="00690AD9">
          <w:rPr>
            <w:rStyle w:val="Hipercze"/>
            <w:rFonts w:ascii="Times New Roman" w:hAnsi="Times New Roman"/>
            <w:noProof/>
            <w:lang w:eastAsia="pl-PL"/>
          </w:rPr>
          <w:t>5.2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  <w:lang w:eastAsia="pl-PL"/>
          </w:rPr>
          <w:t>Dominujące sekcje PKD projektów realizowanych przez przedsiębiorców w subregionach województwa śląskiego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left" w:pos="88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27" w:history="1">
        <w:r w:rsidRPr="00690AD9">
          <w:rPr>
            <w:rStyle w:val="Hipercze"/>
            <w:rFonts w:ascii="Times New Roman" w:hAnsi="Times New Roman"/>
            <w:noProof/>
            <w:lang w:eastAsia="pl-PL"/>
          </w:rPr>
          <w:t>5.3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  <w:lang w:eastAsia="pl-PL"/>
          </w:rPr>
          <w:t>Szczegółowa charakterystyka wspieranych w ramach RPO WSL sekcji PKD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left" w:pos="88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28" w:history="1">
        <w:r w:rsidRPr="00690AD9">
          <w:rPr>
            <w:rStyle w:val="Hipercze"/>
            <w:rFonts w:ascii="Times New Roman" w:hAnsi="Times New Roman"/>
            <w:noProof/>
            <w:lang w:eastAsia="pl-PL"/>
          </w:rPr>
          <w:t>5.4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  <w:lang w:eastAsia="pl-PL"/>
          </w:rPr>
          <w:t>Sekcje PKD a kategorie interwencji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left" w:pos="88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29" w:history="1">
        <w:r w:rsidRPr="00690AD9">
          <w:rPr>
            <w:rStyle w:val="Hipercze"/>
            <w:rFonts w:ascii="Times New Roman" w:hAnsi="Times New Roman"/>
            <w:noProof/>
            <w:lang w:eastAsia="pl-PL"/>
          </w:rPr>
          <w:t>5.5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  <w:lang w:eastAsia="pl-PL"/>
          </w:rPr>
          <w:t>Sekcje PKD a typy projektów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left" w:pos="88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30" w:history="1">
        <w:r w:rsidRPr="00690AD9">
          <w:rPr>
            <w:rStyle w:val="Hipercze"/>
            <w:rFonts w:ascii="Times New Roman" w:hAnsi="Times New Roman"/>
            <w:noProof/>
            <w:lang w:eastAsia="pl-PL"/>
          </w:rPr>
          <w:t>5.6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  <w:lang w:eastAsia="pl-PL"/>
          </w:rPr>
          <w:t>Innowacje realizowane przez przedsiębiorców w podziale na sekcje PKD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2"/>
        <w:tabs>
          <w:tab w:val="left" w:pos="88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31" w:history="1">
        <w:r w:rsidRPr="00690AD9">
          <w:rPr>
            <w:rStyle w:val="Hipercze"/>
            <w:rFonts w:ascii="Times New Roman" w:hAnsi="Times New Roman"/>
            <w:noProof/>
            <w:lang w:eastAsia="pl-PL"/>
          </w:rPr>
          <w:t>5.7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  <w:lang w:eastAsia="pl-PL"/>
          </w:rPr>
          <w:t>Analiza Sekcje PKD a wielkość przedsiębiorstwa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BA155C" w:rsidRDefault="00BA155C">
      <w:pPr>
        <w:pStyle w:val="Spistreci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356809932" w:history="1">
        <w:r w:rsidRPr="00690AD9">
          <w:rPr>
            <w:rStyle w:val="Hipercze"/>
            <w:rFonts w:ascii="Times New Roman" w:hAnsi="Times New Roman"/>
            <w:noProof/>
          </w:rPr>
          <w:t>6.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690AD9">
          <w:rPr>
            <w:rStyle w:val="Hipercze"/>
            <w:rFonts w:ascii="Times New Roman" w:hAnsi="Times New Roman"/>
            <w:noProof/>
          </w:rPr>
          <w:t>Analiza realizacji założeń finansowych projektów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_Toc356809932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DE67CB" w:rsidRPr="004564DF" w:rsidRDefault="00DC665F" w:rsidP="004564DF">
      <w:pPr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fldChar w:fldCharType="end"/>
      </w:r>
    </w:p>
    <w:p w:rsidR="00E24CC2" w:rsidRPr="004564DF" w:rsidRDefault="00295857" w:rsidP="004564DF">
      <w:pPr>
        <w:pStyle w:val="Nagwek1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br w:type="page"/>
      </w:r>
      <w:bookmarkStart w:id="0" w:name="_Toc356809915"/>
      <w:r w:rsidR="0084480B" w:rsidRPr="004564DF">
        <w:rPr>
          <w:rFonts w:ascii="Times New Roman" w:hAnsi="Times New Roman"/>
          <w:sz w:val="24"/>
          <w:szCs w:val="24"/>
        </w:rPr>
        <w:lastRenderedPageBreak/>
        <w:t>Wstęp</w:t>
      </w:r>
      <w:bookmarkEnd w:id="0"/>
    </w:p>
    <w:p w:rsidR="00DE67CB" w:rsidRPr="004564DF" w:rsidRDefault="00DE67CB" w:rsidP="004564DF">
      <w:pPr>
        <w:jc w:val="both"/>
        <w:rPr>
          <w:rFonts w:ascii="Times New Roman" w:hAnsi="Times New Roman"/>
          <w:sz w:val="24"/>
          <w:szCs w:val="24"/>
        </w:rPr>
      </w:pPr>
    </w:p>
    <w:p w:rsidR="002F6F50" w:rsidRPr="004564DF" w:rsidRDefault="002F6F50" w:rsidP="004564DF">
      <w:pPr>
        <w:spacing w:before="100" w:beforeAutospacing="1" w:after="120"/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t xml:space="preserve">W Regionalnym Programie Operacyjnym Województwa Śląskiego </w:t>
      </w:r>
      <w:r w:rsidR="0084480B" w:rsidRPr="004564DF">
        <w:rPr>
          <w:rFonts w:ascii="Times New Roman" w:hAnsi="Times New Roman"/>
          <w:sz w:val="24"/>
          <w:szCs w:val="24"/>
        </w:rPr>
        <w:t xml:space="preserve">na lata 2007 – 2013 przewidziano szereg instrumentów wsparcia – zarówno bezpośredniego, jak i pośredniego – skierowanych do sektora MŚP. </w:t>
      </w:r>
      <w:r w:rsidR="00BA3CD8" w:rsidRPr="004564DF">
        <w:rPr>
          <w:rFonts w:ascii="Times New Roman" w:hAnsi="Times New Roman"/>
          <w:sz w:val="24"/>
          <w:szCs w:val="24"/>
        </w:rPr>
        <w:t xml:space="preserve">Ich celem jest dążenie do </w:t>
      </w:r>
      <w:r w:rsidR="005F6497" w:rsidRPr="004564DF">
        <w:rPr>
          <w:rFonts w:ascii="Times New Roman" w:hAnsi="Times New Roman"/>
          <w:sz w:val="24"/>
          <w:szCs w:val="24"/>
        </w:rPr>
        <w:t>zwiększenia</w:t>
      </w:r>
      <w:r w:rsidR="00BA3CD8" w:rsidRPr="004564DF">
        <w:rPr>
          <w:rFonts w:ascii="Times New Roman" w:hAnsi="Times New Roman"/>
          <w:sz w:val="24"/>
          <w:szCs w:val="24"/>
        </w:rPr>
        <w:t xml:space="preserve"> konkurencyjności polskiej gospodarki poprzez wzmocnienie jej innowacyjności. </w:t>
      </w:r>
      <w:r w:rsidR="0084480B" w:rsidRPr="004564DF">
        <w:rPr>
          <w:rFonts w:ascii="Times New Roman" w:hAnsi="Times New Roman"/>
          <w:sz w:val="24"/>
          <w:szCs w:val="24"/>
        </w:rPr>
        <w:t>Niniejsze opracowanie prezentuje między innymi stan wdrażania, kierunki wsparcia, koncentrację tematyczną działań zakładających bezpośrednie wsparcie przedsiębiorstw w formie dotacji.</w:t>
      </w:r>
      <w:r w:rsidR="00204946" w:rsidRPr="004564DF">
        <w:rPr>
          <w:rFonts w:ascii="Times New Roman" w:hAnsi="Times New Roman"/>
          <w:sz w:val="24"/>
          <w:szCs w:val="24"/>
        </w:rPr>
        <w:t xml:space="preserve"> Dane zaprezentowane poniżej obrazują stan wdrażania RPO WSL na dzień 31.12.2012 r.</w:t>
      </w:r>
    </w:p>
    <w:p w:rsidR="008E027E" w:rsidRPr="004564DF" w:rsidRDefault="008E027E" w:rsidP="004564DF">
      <w:pPr>
        <w:spacing w:before="100" w:beforeAutospacing="1" w:after="120"/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t>Dofinansowanie w formie dotacji udzielane jest przedsiębiorstwom w ramach następujących poddziałań:</w:t>
      </w:r>
    </w:p>
    <w:p w:rsidR="008E027E" w:rsidRPr="004564DF" w:rsidRDefault="00DC665F" w:rsidP="004564DF">
      <w:pPr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noProof/>
          <w:sz w:val="24"/>
          <w:szCs w:val="24"/>
          <w:lang w:eastAsia="pl-P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5" type="#_x0000_t202" style="position:absolute;left:0;text-align:left;margin-left:372.4pt;margin-top:1.55pt;width:135.6pt;height:51.9pt;z-index:251657216" stroked="f">
            <v:textbox>
              <w:txbxContent>
                <w:p w:rsidR="009364F5" w:rsidRPr="004A0091" w:rsidRDefault="009364F5" w:rsidP="00493E11">
                  <w:pPr>
                    <w:spacing w:before="100" w:beforeAutospacing="1" w:after="120"/>
                    <w:jc w:val="center"/>
                    <w:rPr>
                      <w:rFonts w:ascii="Cambria" w:hAnsi="Cambria"/>
                      <w:i/>
                      <w:noProof/>
                      <w:sz w:val="24"/>
                      <w:szCs w:val="24"/>
                      <w:lang w:eastAsia="pl-PL"/>
                    </w:rPr>
                  </w:pPr>
                  <w:r w:rsidRPr="004A0091">
                    <w:rPr>
                      <w:rFonts w:ascii="Cambria" w:hAnsi="Cambria"/>
                      <w:i/>
                      <w:noProof/>
                      <w:sz w:val="24"/>
                      <w:szCs w:val="24"/>
                      <w:lang w:eastAsia="pl-PL"/>
                    </w:rPr>
                    <w:t>Działanie 1.2 Mikroprzedsiębiorstwa i MŚP</w:t>
                  </w:r>
                </w:p>
              </w:txbxContent>
            </v:textbox>
          </v:shape>
        </w:pict>
      </w:r>
      <w:r>
        <w:rPr>
          <w:rFonts w:ascii="Times New Roman" w:hAnsi="Times New Roman"/>
          <w:i/>
          <w:noProof/>
          <w:sz w:val="24"/>
          <w:szCs w:val="24"/>
          <w:lang w:eastAsia="pl-PL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86" type="#_x0000_t13" style="position:absolute;left:0;text-align:left;margin-left:291.2pt;margin-top:12.45pt;width:81.2pt;height:34.35pt;z-index:251658240"/>
        </w:pict>
      </w:r>
      <w:r w:rsidR="008E027E" w:rsidRPr="004564DF">
        <w:rPr>
          <w:rFonts w:ascii="Times New Roman" w:hAnsi="Times New Roman"/>
          <w:i/>
          <w:sz w:val="24"/>
          <w:szCs w:val="24"/>
        </w:rPr>
        <w:t>Poddziałanie 1.2.1 Mikroprzedsiębiorstwa,</w:t>
      </w:r>
    </w:p>
    <w:p w:rsidR="008E027E" w:rsidRPr="004564DF" w:rsidRDefault="008E027E" w:rsidP="004564DF">
      <w:pPr>
        <w:jc w:val="both"/>
        <w:rPr>
          <w:rFonts w:ascii="Times New Roman" w:hAnsi="Times New Roman"/>
          <w:i/>
          <w:sz w:val="24"/>
          <w:szCs w:val="24"/>
        </w:rPr>
      </w:pPr>
      <w:r w:rsidRPr="004564DF">
        <w:rPr>
          <w:rFonts w:ascii="Times New Roman" w:hAnsi="Times New Roman"/>
          <w:i/>
          <w:sz w:val="24"/>
          <w:szCs w:val="24"/>
        </w:rPr>
        <w:t>Poddziałanie 1.2.2 Małe i Średnie Przedsiębiorstwa,</w:t>
      </w:r>
    </w:p>
    <w:p w:rsidR="008E027E" w:rsidRPr="004564DF" w:rsidRDefault="008E027E" w:rsidP="004564DF">
      <w:pPr>
        <w:jc w:val="both"/>
        <w:rPr>
          <w:rFonts w:ascii="Times New Roman" w:hAnsi="Times New Roman"/>
          <w:i/>
          <w:sz w:val="24"/>
          <w:szCs w:val="24"/>
        </w:rPr>
      </w:pPr>
      <w:r w:rsidRPr="004564DF">
        <w:rPr>
          <w:rFonts w:ascii="Times New Roman" w:hAnsi="Times New Roman"/>
          <w:i/>
          <w:sz w:val="24"/>
          <w:szCs w:val="24"/>
        </w:rPr>
        <w:t>Poddziałanie 1.2.3 Innowacje w Mikroprzedsiębiorstwach i MŚP</w:t>
      </w:r>
    </w:p>
    <w:p w:rsidR="008E027E" w:rsidRPr="004564DF" w:rsidRDefault="008E027E" w:rsidP="004564DF">
      <w:pPr>
        <w:jc w:val="both"/>
        <w:rPr>
          <w:rFonts w:ascii="Times New Roman" w:hAnsi="Times New Roman"/>
          <w:i/>
          <w:sz w:val="24"/>
          <w:szCs w:val="24"/>
        </w:rPr>
      </w:pPr>
      <w:r w:rsidRPr="004564DF">
        <w:rPr>
          <w:rFonts w:ascii="Times New Roman" w:hAnsi="Times New Roman"/>
          <w:i/>
          <w:sz w:val="24"/>
          <w:szCs w:val="24"/>
        </w:rPr>
        <w:t>Poddziałanie 1.2.4 Mikro, małe i średnie przedsiębiorstwa.</w:t>
      </w:r>
    </w:p>
    <w:p w:rsidR="008E027E" w:rsidRPr="004564DF" w:rsidRDefault="008E027E" w:rsidP="004564DF">
      <w:pPr>
        <w:jc w:val="both"/>
        <w:rPr>
          <w:rFonts w:ascii="Times New Roman" w:hAnsi="Times New Roman"/>
          <w:i/>
          <w:sz w:val="24"/>
          <w:szCs w:val="24"/>
        </w:rPr>
      </w:pPr>
      <w:r w:rsidRPr="004564DF">
        <w:rPr>
          <w:rFonts w:ascii="Times New Roman" w:hAnsi="Times New Roman"/>
          <w:i/>
          <w:sz w:val="24"/>
          <w:szCs w:val="24"/>
        </w:rPr>
        <w:t>Poddziałanie 3.1.1 Infrastruktura zaplecza turystycznego/przedsiębiorstwa</w:t>
      </w:r>
    </w:p>
    <w:p w:rsidR="008E027E" w:rsidRPr="004564DF" w:rsidRDefault="008E027E" w:rsidP="004564DF">
      <w:pPr>
        <w:jc w:val="both"/>
        <w:rPr>
          <w:rFonts w:ascii="Times New Roman" w:hAnsi="Times New Roman"/>
          <w:i/>
          <w:sz w:val="24"/>
          <w:szCs w:val="24"/>
        </w:rPr>
      </w:pPr>
      <w:r w:rsidRPr="004564DF">
        <w:rPr>
          <w:rFonts w:ascii="Times New Roman" w:hAnsi="Times New Roman"/>
          <w:i/>
          <w:sz w:val="24"/>
          <w:szCs w:val="24"/>
        </w:rPr>
        <w:t>Poddziałanie 3.2.1 Infrastruktura okołoturystyczna/przedsiębiorstwa</w:t>
      </w:r>
    </w:p>
    <w:p w:rsidR="00493E11" w:rsidRPr="004564DF" w:rsidRDefault="00AF70AD" w:rsidP="004564DF">
      <w:pPr>
        <w:spacing w:before="100" w:beforeAutospacing="1" w:after="120"/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t>Głównym celem p</w:t>
      </w:r>
      <w:r w:rsidR="00493E11" w:rsidRPr="004564DF">
        <w:rPr>
          <w:rFonts w:ascii="Times New Roman" w:hAnsi="Times New Roman"/>
          <w:sz w:val="24"/>
          <w:szCs w:val="24"/>
        </w:rPr>
        <w:t xml:space="preserve">oddziałań 1.2.1, 1.2.2 oraz 1.2.4 </w:t>
      </w:r>
      <w:r w:rsidR="00477933" w:rsidRPr="004564DF">
        <w:rPr>
          <w:rFonts w:ascii="Times New Roman" w:hAnsi="Times New Roman"/>
          <w:sz w:val="24"/>
          <w:szCs w:val="24"/>
        </w:rPr>
        <w:t>jest wsparcie mikro, małych i średnich przedsiębiorstw służące osiągnięciu przez nie przewagi konkurencyjnej oraz wzrostowi zatrudnienia</w:t>
      </w:r>
      <w:r w:rsidR="005F1F99" w:rsidRPr="004564DF">
        <w:rPr>
          <w:rFonts w:ascii="Times New Roman" w:hAnsi="Times New Roman"/>
          <w:sz w:val="24"/>
          <w:szCs w:val="24"/>
        </w:rPr>
        <w:t xml:space="preserve">. Wspierane </w:t>
      </w:r>
      <w:r w:rsidR="00BA3CD8" w:rsidRPr="004564DF">
        <w:rPr>
          <w:rFonts w:ascii="Times New Roman" w:hAnsi="Times New Roman"/>
          <w:sz w:val="24"/>
          <w:szCs w:val="24"/>
        </w:rPr>
        <w:t>są inwestycje bezpośrednie z zakresu rozbudowy i modernizacji przedsiębiorstw, projekty doradcze, a także udział w tar</w:t>
      </w:r>
      <w:r w:rsidR="00BE067D" w:rsidRPr="004564DF">
        <w:rPr>
          <w:rFonts w:ascii="Times New Roman" w:hAnsi="Times New Roman"/>
          <w:sz w:val="24"/>
          <w:szCs w:val="24"/>
        </w:rPr>
        <w:t>gach i misjach gospodarczych. W </w:t>
      </w:r>
      <w:r w:rsidR="00BA3CD8" w:rsidRPr="004564DF">
        <w:rPr>
          <w:rFonts w:ascii="Times New Roman" w:hAnsi="Times New Roman"/>
          <w:sz w:val="24"/>
          <w:szCs w:val="24"/>
        </w:rPr>
        <w:t xml:space="preserve">praktyce w </w:t>
      </w:r>
      <w:r w:rsidRPr="004564DF">
        <w:rPr>
          <w:rFonts w:ascii="Times New Roman" w:hAnsi="Times New Roman"/>
          <w:sz w:val="24"/>
          <w:szCs w:val="24"/>
        </w:rPr>
        <w:t>ramach p</w:t>
      </w:r>
      <w:r w:rsidR="00BE067D" w:rsidRPr="004564DF">
        <w:rPr>
          <w:rFonts w:ascii="Times New Roman" w:hAnsi="Times New Roman"/>
          <w:sz w:val="24"/>
          <w:szCs w:val="24"/>
        </w:rPr>
        <w:t xml:space="preserve">oddziałań 1.2.1, 1.2.2 oraz 1.2.4 są realizowane przedsięwzięcia polegające na wzmocnieniu i rozbudowie przedsiębiorstw, takie jak: zakup maszyn i urządzeń, wartości niematerialnych i prawnych, a także prace budowlane służące dostosowaniu </w:t>
      </w:r>
      <w:r w:rsidR="00012BD5" w:rsidRPr="004564DF">
        <w:rPr>
          <w:rFonts w:ascii="Times New Roman" w:hAnsi="Times New Roman"/>
          <w:sz w:val="24"/>
          <w:szCs w:val="24"/>
        </w:rPr>
        <w:t>pomieszczeń do aktualnych potrzeb przedsiębiorstwa.</w:t>
      </w:r>
    </w:p>
    <w:p w:rsidR="00012BD5" w:rsidRPr="004564DF" w:rsidRDefault="00012BD5" w:rsidP="004564DF">
      <w:pPr>
        <w:spacing w:before="100" w:beforeAutospacing="1" w:after="120"/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t xml:space="preserve">Poddziałanie 1.2.3 skierowane jest do przedsiębiorców chcących wdrażać innowacje w swojej działalności. Dofinansowanie mogły uzyskać przedsiębiorstwa, które </w:t>
      </w:r>
      <w:r w:rsidR="00BD0BFC" w:rsidRPr="004564DF">
        <w:rPr>
          <w:rFonts w:ascii="Times New Roman" w:hAnsi="Times New Roman"/>
          <w:sz w:val="24"/>
          <w:szCs w:val="24"/>
        </w:rPr>
        <w:t xml:space="preserve">prowadzą działalność innowacyjną, podejmują współpracę z instytucjami B+R </w:t>
      </w:r>
      <w:r w:rsidR="004A2AD4" w:rsidRPr="004564DF">
        <w:rPr>
          <w:rFonts w:ascii="Times New Roman" w:hAnsi="Times New Roman"/>
          <w:sz w:val="24"/>
          <w:szCs w:val="24"/>
        </w:rPr>
        <w:t>bądź</w:t>
      </w:r>
      <w:r w:rsidR="00BD0BFC" w:rsidRPr="004564DF">
        <w:rPr>
          <w:rFonts w:ascii="Times New Roman" w:hAnsi="Times New Roman"/>
          <w:sz w:val="24"/>
          <w:szCs w:val="24"/>
        </w:rPr>
        <w:t xml:space="preserve"> dokonują zakupu innowacyjnych technologii w celu wprowadzenia nowych (ulepszonych) produktów lub usług.</w:t>
      </w:r>
    </w:p>
    <w:p w:rsidR="004A2AD4" w:rsidRPr="004564DF" w:rsidRDefault="00AF70AD" w:rsidP="004564DF">
      <w:pPr>
        <w:spacing w:before="100" w:beforeAutospacing="1" w:after="120"/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t>W ramach p</w:t>
      </w:r>
      <w:r w:rsidR="004A2AD4" w:rsidRPr="004564DF">
        <w:rPr>
          <w:rFonts w:ascii="Times New Roman" w:hAnsi="Times New Roman"/>
          <w:sz w:val="24"/>
          <w:szCs w:val="24"/>
        </w:rPr>
        <w:t xml:space="preserve">oddziałań 3.1.1 oraz 3.2.1 realizowane są projekty z zakresu turystyki polegające zarówno na rozbudowie i poprawie jakości bazy noclegowej i gastronomicznej (3.1.1), jak i tworzeniu i rozbudowie infrastruktury okołoturystycznej (3.2.1). </w:t>
      </w:r>
    </w:p>
    <w:p w:rsidR="002750C0" w:rsidRPr="004564DF" w:rsidRDefault="004A2AD4" w:rsidP="004564DF">
      <w:pPr>
        <w:spacing w:before="100" w:beforeAutospacing="1" w:after="120"/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t xml:space="preserve">Wszystkie </w:t>
      </w:r>
      <w:r w:rsidR="00AF70AD" w:rsidRPr="004564DF">
        <w:rPr>
          <w:rFonts w:ascii="Times New Roman" w:hAnsi="Times New Roman"/>
          <w:sz w:val="24"/>
          <w:szCs w:val="24"/>
        </w:rPr>
        <w:t>p</w:t>
      </w:r>
      <w:r w:rsidRPr="004564DF">
        <w:rPr>
          <w:rFonts w:ascii="Times New Roman" w:hAnsi="Times New Roman"/>
          <w:sz w:val="24"/>
          <w:szCs w:val="24"/>
        </w:rPr>
        <w:t>oddziałania skierowane do przedsiębiorców są wdrażane przez Śląskie Centrum Przedsiębiorczorczości.</w:t>
      </w:r>
      <w:r w:rsidR="00255C41" w:rsidRPr="004564DF">
        <w:rPr>
          <w:rFonts w:ascii="Times New Roman" w:hAnsi="Times New Roman"/>
          <w:sz w:val="24"/>
          <w:szCs w:val="24"/>
        </w:rPr>
        <w:t xml:space="preserve"> </w:t>
      </w:r>
      <w:r w:rsidRPr="004564DF">
        <w:rPr>
          <w:rFonts w:ascii="Times New Roman" w:hAnsi="Times New Roman"/>
          <w:sz w:val="24"/>
          <w:szCs w:val="24"/>
        </w:rPr>
        <w:t xml:space="preserve">Na bezpośrednie wsparcie dla przedsiębiorców w ramach </w:t>
      </w:r>
      <w:r w:rsidR="00255C41" w:rsidRPr="004564DF">
        <w:rPr>
          <w:rFonts w:ascii="Times New Roman" w:hAnsi="Times New Roman"/>
          <w:sz w:val="24"/>
          <w:szCs w:val="24"/>
        </w:rPr>
        <w:t xml:space="preserve">wyżej </w:t>
      </w:r>
      <w:r w:rsidR="002750C0" w:rsidRPr="004564DF">
        <w:rPr>
          <w:rFonts w:ascii="Times New Roman" w:hAnsi="Times New Roman"/>
          <w:sz w:val="24"/>
          <w:szCs w:val="24"/>
        </w:rPr>
        <w:br/>
      </w:r>
    </w:p>
    <w:p w:rsidR="00DE67CB" w:rsidRPr="004564DF" w:rsidRDefault="002750C0" w:rsidP="004564DF">
      <w:pPr>
        <w:spacing w:before="100" w:beforeAutospacing="1" w:after="120"/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br w:type="column"/>
      </w:r>
      <w:r w:rsidR="00255C41" w:rsidRPr="004564DF">
        <w:rPr>
          <w:rFonts w:ascii="Times New Roman" w:hAnsi="Times New Roman"/>
          <w:sz w:val="24"/>
          <w:szCs w:val="24"/>
        </w:rPr>
        <w:lastRenderedPageBreak/>
        <w:t xml:space="preserve">opisanych poddziałań </w:t>
      </w:r>
      <w:r w:rsidR="004A2AD4" w:rsidRPr="004564DF">
        <w:rPr>
          <w:rFonts w:ascii="Times New Roman" w:hAnsi="Times New Roman"/>
          <w:sz w:val="24"/>
          <w:szCs w:val="24"/>
        </w:rPr>
        <w:t>RPO WSL przeznaczono kwotę</w:t>
      </w:r>
      <w:r w:rsidR="00DE67CB" w:rsidRPr="004564DF">
        <w:rPr>
          <w:rFonts w:ascii="Times New Roman" w:hAnsi="Times New Roman"/>
          <w:sz w:val="24"/>
          <w:szCs w:val="24"/>
        </w:rPr>
        <w:t xml:space="preserve"> (EFRR + budżet państwa) 237 597</w:t>
      </w:r>
      <w:r w:rsidRPr="004564DF">
        <w:rPr>
          <w:rFonts w:ascii="Times New Roman" w:hAnsi="Times New Roman"/>
          <w:sz w:val="24"/>
          <w:szCs w:val="24"/>
        </w:rPr>
        <w:t> </w:t>
      </w:r>
      <w:r w:rsidR="00DE67CB" w:rsidRPr="004564DF">
        <w:rPr>
          <w:rFonts w:ascii="Times New Roman" w:hAnsi="Times New Roman"/>
          <w:sz w:val="24"/>
          <w:szCs w:val="24"/>
        </w:rPr>
        <w:t>615</w:t>
      </w:r>
      <w:r w:rsidRPr="004564DF">
        <w:rPr>
          <w:rFonts w:ascii="Times New Roman" w:hAnsi="Times New Roman"/>
          <w:sz w:val="24"/>
          <w:szCs w:val="24"/>
        </w:rPr>
        <w:t> </w:t>
      </w:r>
      <w:r w:rsidR="00B04118" w:rsidRPr="004564DF">
        <w:rPr>
          <w:rFonts w:ascii="Times New Roman" w:hAnsi="Times New Roman"/>
          <w:sz w:val="24"/>
          <w:szCs w:val="24"/>
        </w:rPr>
        <w:t>EUR</w:t>
      </w:r>
      <w:r w:rsidRPr="004564DF">
        <w:rPr>
          <w:rFonts w:ascii="Times New Roman" w:hAnsi="Times New Roman"/>
          <w:sz w:val="24"/>
          <w:szCs w:val="24"/>
        </w:rPr>
        <w:t xml:space="preserve">. </w:t>
      </w:r>
      <w:r w:rsidR="00255C41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Środki te zostały rozdysponowane między przedsiębiorców w procedurze konkursowej. Łącznie ogłoszono 20 konkursów, w tym:</w:t>
      </w:r>
    </w:p>
    <w:p w:rsidR="00255C41" w:rsidRPr="004A0091" w:rsidRDefault="00255C41" w:rsidP="004A0091">
      <w:pPr>
        <w:pStyle w:val="Akapitzlist"/>
        <w:numPr>
          <w:ilvl w:val="0"/>
          <w:numId w:val="13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trzy konkursy dla poddziałania 1.2.1 (w tym dwa na projekty targowe)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4A0091" w:rsidRDefault="00255C41" w:rsidP="004A0091">
      <w:pPr>
        <w:pStyle w:val="Akapitzlist"/>
        <w:numPr>
          <w:ilvl w:val="0"/>
          <w:numId w:val="13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trzy konkursy dla poddziałania 1.2.2 (w tym dwa na projekty targowe)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4A0091" w:rsidRDefault="00255C41" w:rsidP="004A0091">
      <w:pPr>
        <w:pStyle w:val="Akapitzlist"/>
        <w:numPr>
          <w:ilvl w:val="0"/>
          <w:numId w:val="13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trzy konkursy dla poddziałania 1.2.3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4A0091" w:rsidRDefault="00255C41" w:rsidP="004A0091">
      <w:pPr>
        <w:pStyle w:val="Akapitzlist"/>
        <w:numPr>
          <w:ilvl w:val="0"/>
          <w:numId w:val="13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pięć konkursów dla poddziałania 1.2.4 (w tym trzy na projekty targowe)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4A0091" w:rsidRDefault="00255C41" w:rsidP="004A0091">
      <w:pPr>
        <w:pStyle w:val="Akapitzlist"/>
        <w:numPr>
          <w:ilvl w:val="0"/>
          <w:numId w:val="13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trzy konkursy dla poddziałania 3.1.1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255C41" w:rsidRPr="004A0091" w:rsidRDefault="00255C41" w:rsidP="004A0091">
      <w:pPr>
        <w:pStyle w:val="Akapitzlist"/>
        <w:numPr>
          <w:ilvl w:val="0"/>
          <w:numId w:val="13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trzy konkursy dla poddziałania 3.2.1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950B65" w:rsidRPr="004564DF" w:rsidRDefault="00BC5CC8" w:rsidP="004A0091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Ostatni konkurs dla przedsiębiorców został ogłoszony w maju 2012 r. </w:t>
      </w:r>
      <w:r w:rsidR="00AF70A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ramach poddziałania 1.2.3. Wszystkie środki dostępne dla przedsię</w:t>
      </w:r>
      <w:r w:rsidR="005F649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biorców zostały rozdysponowane i nie jest planowane organizowanie kolejnego konkursu dla przedsiębiorców w perspektywie finansowej 2007-2013.</w:t>
      </w:r>
    </w:p>
    <w:p w:rsidR="00F23F78" w:rsidRPr="004564DF" w:rsidRDefault="00F23F78" w:rsidP="004564DF">
      <w:pPr>
        <w:pStyle w:val="Nagwek1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bookmarkStart w:id="1" w:name="_Toc356809916"/>
      <w:r w:rsidRPr="004564DF">
        <w:rPr>
          <w:rFonts w:ascii="Times New Roman" w:hAnsi="Times New Roman"/>
          <w:sz w:val="24"/>
          <w:szCs w:val="24"/>
        </w:rPr>
        <w:t>Stan wdrażania działań skierowanych do przedsiębiorców (wsparcie bezpośrednie)</w:t>
      </w:r>
      <w:bookmarkEnd w:id="1"/>
    </w:p>
    <w:p w:rsidR="00F23F78" w:rsidRPr="004564DF" w:rsidRDefault="00F23F78" w:rsidP="004564DF">
      <w:pPr>
        <w:jc w:val="both"/>
        <w:rPr>
          <w:rFonts w:ascii="Times New Roman" w:hAnsi="Times New Roman"/>
          <w:sz w:val="24"/>
          <w:szCs w:val="24"/>
        </w:rPr>
      </w:pPr>
    </w:p>
    <w:p w:rsidR="00E7623F" w:rsidRPr="004564DF" w:rsidRDefault="00E7623F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Alokacja na poddziałania skierowane do przedsiębiorców wynosi 237 597 615 EUR, w tym:</w:t>
      </w:r>
    </w:p>
    <w:p w:rsidR="00E7623F" w:rsidRPr="004A0091" w:rsidRDefault="00E7623F" w:rsidP="004A0091">
      <w:pPr>
        <w:pStyle w:val="Akapitzlist"/>
        <w:numPr>
          <w:ilvl w:val="0"/>
          <w:numId w:val="14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11 493 700 EUR na poddziałanie 1.2.1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E7623F" w:rsidRPr="004A0091" w:rsidRDefault="00E7623F" w:rsidP="004A0091">
      <w:pPr>
        <w:pStyle w:val="Akapitzlist"/>
        <w:numPr>
          <w:ilvl w:val="0"/>
          <w:numId w:val="14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37 300 000 EUR na poddziałanie 1.2.2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E7623F" w:rsidRPr="004A0091" w:rsidRDefault="00E7623F" w:rsidP="004A0091">
      <w:pPr>
        <w:pStyle w:val="Akapitzlist"/>
        <w:numPr>
          <w:ilvl w:val="0"/>
          <w:numId w:val="14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67 247 059 EUR na poddziałanie 1.2.3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E7623F" w:rsidRPr="004A0091" w:rsidRDefault="00E7623F" w:rsidP="004A0091">
      <w:pPr>
        <w:pStyle w:val="Akapitzlist"/>
        <w:numPr>
          <w:ilvl w:val="0"/>
          <w:numId w:val="14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66 498 032 EUR na poddziałanie 1.2.4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E7623F" w:rsidRPr="004A0091" w:rsidRDefault="00E7623F" w:rsidP="004A0091">
      <w:pPr>
        <w:pStyle w:val="Akapitzlist"/>
        <w:numPr>
          <w:ilvl w:val="0"/>
          <w:numId w:val="14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35 058 824 EUR na poddziałanie 3.1.1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E7623F" w:rsidRPr="004A0091" w:rsidRDefault="00E7623F" w:rsidP="004A0091">
      <w:pPr>
        <w:pStyle w:val="Akapitzlist"/>
        <w:numPr>
          <w:ilvl w:val="0"/>
          <w:numId w:val="14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20 000 000 EUR na poddziałanie 3.2.1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E7623F" w:rsidRPr="004564DF" w:rsidRDefault="00E7623F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Procentowy udział środków przeznaczon</w:t>
      </w:r>
      <w:r w:rsidR="00886E7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ych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na poszczególne poddziałania w całościowej kwocie środków przeznaczonych dla przedsiębiorcó</w:t>
      </w:r>
      <w:r w:rsidR="004B53DB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przedstawia poniższy wykres.</w:t>
      </w:r>
    </w:p>
    <w:p w:rsidR="00886E7E" w:rsidRPr="004564DF" w:rsidRDefault="004564DF" w:rsidP="004564DF">
      <w:pPr>
        <w:spacing w:before="100" w:beforeAutospacing="1" w:after="120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  <w:lang w:eastAsia="pl-PL"/>
        </w:rPr>
        <w:drawing>
          <wp:inline distT="0" distB="0" distL="0" distR="0">
            <wp:extent cx="4572762" cy="2746629"/>
            <wp:effectExtent l="12192" t="6096" r="6096" b="0"/>
            <wp:docPr id="5" name="Wykres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886E7E" w:rsidRPr="004564DF" w:rsidRDefault="00886E7E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i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1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Udział % alokacji na poszczególne poddziałania RPO WSL skierowane do przedsiębiorców</w:t>
      </w:r>
    </w:p>
    <w:p w:rsidR="00F23F78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 xml:space="preserve">Według stanu na 31 grudnia 2012 r. w ramach konkursów ogłoszonych przez IP2 RPO WSL </w:t>
      </w:r>
      <w:r w:rsidR="00AE6513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zostało złożonych łącznie 8 682 wnioski o dofinansowanie na łączną kwotę dofinansowania </w:t>
      </w:r>
      <w:r w:rsidR="00A6196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628</w:t>
      </w:r>
      <w:r w:rsidR="00AE6513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6196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AE6513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(26</w:t>
      </w:r>
      <w:r w:rsidR="007B307B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4</w:t>
      </w:r>
      <w:r w:rsidR="00AE6513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% alokacji). D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o dofinansowania został</w:t>
      </w:r>
      <w:r w:rsidR="00AE6513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y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wybran</w:t>
      </w:r>
      <w:r w:rsidR="00AE6513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3</w:t>
      </w:r>
      <w:r w:rsidR="00AE6513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152 wnioski, na łączną kwotę dofinansowania </w:t>
      </w:r>
      <w:r w:rsidR="00A6196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213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6196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(</w:t>
      </w:r>
      <w:r w:rsidR="007B307B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90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% alokacji),</w:t>
      </w:r>
      <w:r w:rsidR="00AE6513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przy czym podpisano umowy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przypadku 2</w:t>
      </w:r>
      <w:r w:rsidR="00AE6513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578 projektów o wartości dofinansowania </w:t>
      </w:r>
      <w:r w:rsidR="00A6196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163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6196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 co stanowi 6</w:t>
      </w:r>
      <w:r w:rsidR="007B307B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9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% alokacji. Na dzień 31 grudnia 2012 r. w ramach działań powierzonych IP2 RPO WSL zostało zatwierdzonych 3</w:t>
      </w:r>
      <w:r w:rsidR="00AE6513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 583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wniosków o płatność (pośrednią + końcową). We wnioskach o płatność beneficjenci wykazali poniesienie </w:t>
      </w:r>
      <w:r w:rsidR="00A6196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118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6196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wydatków. Do końca 2012 r. zakończono 1949 projektów o wartości dofinansowania </w:t>
      </w:r>
      <w:r w:rsidR="00A6196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102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6196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(43% alokacji). </w:t>
      </w:r>
    </w:p>
    <w:p w:rsidR="00886E7E" w:rsidRPr="004564DF" w:rsidRDefault="00886E7E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</w:p>
    <w:p w:rsidR="00F23F78" w:rsidRPr="004564DF" w:rsidRDefault="004564DF" w:rsidP="004564DF">
      <w:pPr>
        <w:spacing w:after="120"/>
        <w:jc w:val="both"/>
        <w:rPr>
          <w:rFonts w:ascii="Times New Roman" w:eastAsia="Times New Roman" w:hAnsi="Times New Roman"/>
          <w:noProof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  <w:lang w:eastAsia="pl-PL"/>
        </w:rPr>
        <w:drawing>
          <wp:inline distT="0" distB="0" distL="0" distR="0">
            <wp:extent cx="5772151" cy="4080129"/>
            <wp:effectExtent l="12192" t="6096" r="6857" b="0"/>
            <wp:docPr id="6" name="Wykres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CA693E" w:rsidRDefault="00886E7E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2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Stan wdrażania poddziałań RPO WSL skierowanych do przedsiębiorców</w:t>
      </w:r>
    </w:p>
    <w:p w:rsidR="004564DF" w:rsidRPr="004564DF" w:rsidRDefault="004564DF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0"/>
          <w:szCs w:val="20"/>
        </w:rPr>
      </w:pPr>
    </w:p>
    <w:p w:rsidR="00F23F78" w:rsidRPr="004564DF" w:rsidRDefault="004564DF" w:rsidP="004564D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822029" cy="3357355"/>
            <wp:effectExtent l="12797" t="4970" r="3999" b="0"/>
            <wp:docPr id="7" name="Wykres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886E7E" w:rsidRPr="004564DF" w:rsidRDefault="00886E7E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3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Stan wdrażania poddziałań RPO WSL skierowanych do przedsiębiorców – ujęcie procentowe</w:t>
      </w:r>
    </w:p>
    <w:p w:rsidR="00755823" w:rsidRPr="004564DF" w:rsidRDefault="00755823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Default="00A34A01" w:rsidP="004564DF">
      <w:pPr>
        <w:pStyle w:val="Akapitzlist"/>
        <w:autoSpaceDE w:val="0"/>
        <w:spacing w:before="120"/>
        <w:ind w:left="0"/>
        <w:jc w:val="both"/>
        <w:rPr>
          <w:rFonts w:ascii="Times New Roman" w:eastAsia="Garamond" w:hAnsi="Times New Roman"/>
          <w:color w:val="000000"/>
          <w:sz w:val="24"/>
          <w:szCs w:val="24"/>
        </w:rPr>
      </w:pPr>
      <w:r w:rsidRPr="004564DF">
        <w:rPr>
          <w:rFonts w:ascii="Times New Roman" w:eastAsia="Garamond" w:hAnsi="Times New Roman"/>
          <w:color w:val="000000"/>
          <w:sz w:val="24"/>
          <w:szCs w:val="24"/>
        </w:rPr>
        <w:t>Należy zwrócić uwagę, iż w trakcie procesu kontraktacji powszechnym zjawiskiem wśród projektów realizowanych przez przedsiębiorców jest rozwiązywanie umów bądź też odstąpienie od ich podpisania – zarówno z inicjatywy przedsiębiorcy, jak i Śląskiego Centrum Przedsiębiorczości. Główną tego przyczyną są problemy ze zgromadzeniem właściwej dokumentacji, błędy podczas realizacji projektu, niezłożenie wniosków o płatność przez beneficjenta. Poniżej przedstawiona została liczba i wartość umów podpisanych, rozwiązanych oraz projektów względem których odstąpiono od podpisania umowy o dofinansowanie.</w:t>
      </w:r>
    </w:p>
    <w:p w:rsidR="004564DF" w:rsidRPr="004564DF" w:rsidRDefault="004564DF" w:rsidP="004564DF">
      <w:pPr>
        <w:pStyle w:val="Akapitzlist"/>
        <w:autoSpaceDE w:val="0"/>
        <w:spacing w:before="120"/>
        <w:ind w:left="0"/>
        <w:jc w:val="both"/>
        <w:rPr>
          <w:rFonts w:ascii="Times New Roman" w:eastAsia="Garamond" w:hAnsi="Times New Roman"/>
          <w:color w:val="000000"/>
          <w:sz w:val="24"/>
          <w:szCs w:val="24"/>
        </w:rPr>
      </w:pPr>
    </w:p>
    <w:p w:rsidR="00A34A01" w:rsidRPr="004564DF" w:rsidRDefault="004564DF" w:rsidP="004564DF">
      <w:pPr>
        <w:pStyle w:val="Akapitzlist"/>
        <w:autoSpaceDE w:val="0"/>
        <w:spacing w:before="120"/>
        <w:ind w:left="0"/>
        <w:jc w:val="both"/>
        <w:rPr>
          <w:rFonts w:ascii="Times New Roman" w:eastAsia="Garamond" w:hAnsi="Times New Roman"/>
          <w:color w:val="000000"/>
          <w:sz w:val="24"/>
          <w:szCs w:val="24"/>
        </w:rPr>
      </w:pPr>
      <w:r>
        <w:rPr>
          <w:rFonts w:ascii="Times New Roman" w:eastAsia="Garamond" w:hAnsi="Times New Roman"/>
          <w:noProof/>
          <w:color w:val="000000"/>
          <w:sz w:val="24"/>
          <w:szCs w:val="24"/>
          <w:lang w:eastAsia="pl-PL"/>
        </w:rPr>
        <w:drawing>
          <wp:inline distT="0" distB="0" distL="0" distR="0">
            <wp:extent cx="5533644" cy="3090733"/>
            <wp:effectExtent l="12192" t="4892" r="7239" b="0"/>
            <wp:docPr id="8" name="Wykres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A34A01" w:rsidRPr="004564DF" w:rsidRDefault="00A34A01" w:rsidP="004564DF">
      <w:pPr>
        <w:pStyle w:val="Akapitzlist"/>
        <w:autoSpaceDE w:val="0"/>
        <w:spacing w:before="120"/>
        <w:ind w:left="0"/>
        <w:jc w:val="both"/>
        <w:rPr>
          <w:rFonts w:ascii="Times New Roman" w:eastAsia="Garamond" w:hAnsi="Times New Roman"/>
          <w:color w:val="000000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4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Liczba i wartość umów podpisanych, rozwiązanych oraz projektów względem których odstąpiono od podpisania umowy</w:t>
      </w:r>
    </w:p>
    <w:p w:rsidR="004564DF" w:rsidRDefault="004564DF" w:rsidP="004564DF">
      <w:pPr>
        <w:pStyle w:val="Akapitzlist"/>
        <w:autoSpaceDE w:val="0"/>
        <w:spacing w:before="120"/>
        <w:ind w:left="0"/>
        <w:jc w:val="both"/>
        <w:rPr>
          <w:rFonts w:ascii="Times New Roman" w:eastAsia="Garamond" w:hAnsi="Times New Roman"/>
          <w:color w:val="000000"/>
          <w:sz w:val="24"/>
          <w:szCs w:val="24"/>
        </w:rPr>
      </w:pPr>
    </w:p>
    <w:p w:rsidR="00A34A01" w:rsidRPr="004564DF" w:rsidRDefault="00A34A01" w:rsidP="004564DF">
      <w:pPr>
        <w:pStyle w:val="Akapitzlist"/>
        <w:autoSpaceDE w:val="0"/>
        <w:spacing w:before="120"/>
        <w:ind w:left="0"/>
        <w:jc w:val="both"/>
        <w:rPr>
          <w:rFonts w:ascii="Times New Roman" w:eastAsia="Garamond" w:hAnsi="Times New Roman"/>
          <w:color w:val="000000"/>
          <w:sz w:val="24"/>
          <w:szCs w:val="24"/>
        </w:rPr>
      </w:pPr>
      <w:r w:rsidRPr="004564DF">
        <w:rPr>
          <w:rFonts w:ascii="Times New Roman" w:eastAsia="Garamond" w:hAnsi="Times New Roman"/>
          <w:color w:val="000000"/>
          <w:sz w:val="24"/>
          <w:szCs w:val="24"/>
        </w:rPr>
        <w:lastRenderedPageBreak/>
        <w:t>Poniżej na wykresie przedstawiono postęp finansowy we wdrażaniu poddziałań skierowanych  do przedsiębiorców w oparciu o dane pochodzące z SIWIZ RPO WSL (podpisane umowy o dofinansowanie uwzględniające protokoły czyszczące) i KSI SIMIK 2007-2013 (środki certyfikowane i poświadczone przez IC). Dane dotyczące wniosków o dofinansowanie pochodzą z list projektów wybranych do dofinansowania zatwierdzonych przez Zarząd Województwa Śląskiego. Prez</w:t>
      </w:r>
      <w:r w:rsidR="004564DF">
        <w:rPr>
          <w:rFonts w:ascii="Times New Roman" w:eastAsia="Garamond" w:hAnsi="Times New Roman"/>
          <w:color w:val="000000"/>
          <w:sz w:val="24"/>
          <w:szCs w:val="24"/>
        </w:rPr>
        <w:t xml:space="preserve">entowane wartości  odpowiadają </w:t>
      </w:r>
      <w:r w:rsidRPr="004564DF">
        <w:rPr>
          <w:rFonts w:ascii="Times New Roman" w:eastAsia="Garamond" w:hAnsi="Times New Roman"/>
          <w:color w:val="000000"/>
          <w:sz w:val="24"/>
          <w:szCs w:val="24"/>
        </w:rPr>
        <w:t xml:space="preserve">środkom UE. </w:t>
      </w:r>
    </w:p>
    <w:p w:rsidR="00F23F78" w:rsidRPr="004564DF" w:rsidRDefault="004564DF" w:rsidP="004564D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6358890" cy="3999230"/>
            <wp:effectExtent l="19050" t="0" r="3810" b="0"/>
            <wp:docPr id="66" name="Obraz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890" cy="399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6E7E" w:rsidRPr="004564DF" w:rsidRDefault="00886E7E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 xml:space="preserve">Wykres nr </w:t>
      </w:r>
      <w:r w:rsidR="00A34A01" w:rsidRPr="004564DF">
        <w:rPr>
          <w:rFonts w:ascii="Times New Roman" w:hAnsi="Times New Roman"/>
          <w:b/>
          <w:sz w:val="20"/>
          <w:szCs w:val="20"/>
        </w:rPr>
        <w:t>5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Stan wdrażania poddziałań RPO WSL skierowanych do przedsiębiorców – narastająco</w:t>
      </w: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A34A01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F23F78" w:rsidRPr="004564DF" w:rsidRDefault="00F23F78" w:rsidP="004564DF">
      <w:pPr>
        <w:pStyle w:val="Nagwek1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bookmarkStart w:id="2" w:name="_Toc356809917"/>
      <w:r w:rsidRPr="004564DF">
        <w:rPr>
          <w:rFonts w:ascii="Times New Roman" w:hAnsi="Times New Roman"/>
          <w:sz w:val="24"/>
          <w:szCs w:val="24"/>
        </w:rPr>
        <w:lastRenderedPageBreak/>
        <w:t>Roz</w:t>
      </w:r>
      <w:r w:rsidR="00E93D2C" w:rsidRPr="004564DF">
        <w:rPr>
          <w:rFonts w:ascii="Times New Roman" w:hAnsi="Times New Roman"/>
          <w:sz w:val="24"/>
          <w:szCs w:val="24"/>
        </w:rPr>
        <w:t>mieszczenie terytorialne</w:t>
      </w:r>
      <w:r w:rsidR="00273C67" w:rsidRPr="004564DF">
        <w:rPr>
          <w:rFonts w:ascii="Times New Roman" w:hAnsi="Times New Roman"/>
          <w:sz w:val="24"/>
          <w:szCs w:val="24"/>
        </w:rPr>
        <w:t xml:space="preserve"> projektów przedsiębiorców realizowanych </w:t>
      </w:r>
      <w:r w:rsidRPr="004564DF">
        <w:rPr>
          <w:rFonts w:ascii="Times New Roman" w:hAnsi="Times New Roman"/>
          <w:sz w:val="24"/>
          <w:szCs w:val="24"/>
        </w:rPr>
        <w:t xml:space="preserve">w </w:t>
      </w:r>
      <w:r w:rsidR="00E93D2C" w:rsidRPr="004564DF">
        <w:rPr>
          <w:rFonts w:ascii="Times New Roman" w:hAnsi="Times New Roman"/>
          <w:sz w:val="24"/>
          <w:szCs w:val="24"/>
        </w:rPr>
        <w:t>ramach RPO WSL</w:t>
      </w:r>
      <w:bookmarkEnd w:id="2"/>
    </w:p>
    <w:p w:rsidR="005A1790" w:rsidRPr="004564DF" w:rsidRDefault="005A1790" w:rsidP="004564DF">
      <w:pPr>
        <w:pStyle w:val="Nagwek2"/>
        <w:jc w:val="both"/>
        <w:rPr>
          <w:rFonts w:ascii="Times New Roman" w:hAnsi="Times New Roman"/>
          <w:sz w:val="24"/>
          <w:szCs w:val="24"/>
        </w:rPr>
      </w:pPr>
      <w:bookmarkStart w:id="3" w:name="_Toc356809918"/>
      <w:r w:rsidRPr="004564DF">
        <w:rPr>
          <w:rFonts w:ascii="Times New Roman" w:hAnsi="Times New Roman"/>
          <w:i w:val="0"/>
          <w:sz w:val="24"/>
          <w:szCs w:val="24"/>
        </w:rPr>
        <w:t>3.1 Subregiony</w:t>
      </w:r>
      <w:bookmarkEnd w:id="3"/>
    </w:p>
    <w:p w:rsidR="00E93D2C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niniejszym opracowaniu przeanalizowano ukierunkowanie tery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torialne wsparcia ze względu na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siedzibę beneficjenta uwzględniając dane dotyczące umów i wniosków o płatność. </w:t>
      </w:r>
    </w:p>
    <w:p w:rsidR="00C656F4" w:rsidRPr="004564DF" w:rsidRDefault="00C656F4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Województwo śląskie zostało podzielone na cztery subregiony. Największym, zarówno pod względem liczby ludności, jak i zajmowanego obszaru, jest subregion centralny obejmujący min. takie miasta, jak stolica regionu – Katowice, Gliwice, Zabrze, Tychy czy Sosnowiec. Drugim co do wielkości subregionem jest subregion poł</w:t>
      </w:r>
      <w:r w:rsidR="00F31FC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udniowy, mający bardzie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j turystyczny charakter z </w:t>
      </w:r>
      <w:r w:rsidR="00F31FC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miastami takimi jak Bielsko-Biała, Cieszyn, </w:t>
      </w:r>
      <w:r w:rsidR="004C16E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Żywiec, </w:t>
      </w:r>
      <w:r w:rsidR="00F31FC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Wisła.</w:t>
      </w:r>
      <w:r w:rsidR="009D722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Subregion północny z </w:t>
      </w:r>
      <w:r w:rsidR="004C16E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Częstochową oraz subregion zachodni z Rybnikiem i Raciborzem zamykają klasyfikację podziału terytorialnego województwa śląskiego.</w:t>
      </w:r>
    </w:p>
    <w:p w:rsidR="00F23F78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Najwięcej umów podpisano w subregionie centralnym – 1475 na kwotę dofinansowania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92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06 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mln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Liczba oraz wartość dofinansowania w przypadku podpisanych umów dla subregionu północnego i zachodniego są zbliżone i wynoszą odpowiednio: subregion północny </w:t>
      </w:r>
      <w:r w:rsidR="009D722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–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333</w:t>
      </w:r>
      <w:r w:rsidR="009D722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podpisane umowy, wartość</w:t>
      </w:r>
      <w:r w:rsidR="009D722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dofinansowania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16</w:t>
      </w:r>
      <w:r w:rsidR="009D722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75</w:t>
      </w:r>
      <w:r w:rsidR="009D722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 mln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9D722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,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subregion zachodni </w:t>
      </w:r>
      <w:r w:rsidR="009D722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–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264</w:t>
      </w:r>
      <w:r w:rsidR="009D722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podpisane umowy na wartość dofinansowania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15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02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W subregionie południowym podpisano 462 umowy o wartości dofinansowania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34,16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  <w:r w:rsidR="00E93D2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Ponadto, podpisano 44 umowy na łączną kwotę dofinansowania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5,20 </w:t>
      </w:r>
      <w:r w:rsidR="00E93D2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mln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E93D2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z beneficjentami posiadającymi siedzibę poza województwem śląskim, a realizującymi projekty na terenie województwa śląskiego. </w:t>
      </w:r>
    </w:p>
    <w:p w:rsidR="00F23F78" w:rsidRPr="004564DF" w:rsidRDefault="00F23F78" w:rsidP="004564DF">
      <w:pPr>
        <w:jc w:val="both"/>
        <w:rPr>
          <w:rFonts w:ascii="Times New Roman" w:hAnsi="Times New Roman"/>
          <w:noProof/>
          <w:sz w:val="24"/>
          <w:szCs w:val="24"/>
          <w:lang w:eastAsia="pl-PL"/>
        </w:rPr>
      </w:pPr>
    </w:p>
    <w:p w:rsidR="00F23F78" w:rsidRPr="004564DF" w:rsidRDefault="004564DF" w:rsidP="004564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240814" cy="3270791"/>
            <wp:effectExtent l="12942" t="5809" r="4044" b="0"/>
            <wp:docPr id="10" name="Wykres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9D722D" w:rsidRPr="004564DF" w:rsidRDefault="009D722D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 xml:space="preserve">Wykres nr </w:t>
      </w:r>
      <w:r w:rsidR="00A34A01" w:rsidRPr="004564DF">
        <w:rPr>
          <w:rFonts w:ascii="Times New Roman" w:hAnsi="Times New Roman"/>
          <w:b/>
          <w:sz w:val="20"/>
          <w:szCs w:val="20"/>
        </w:rPr>
        <w:t>6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="004564DF">
        <w:rPr>
          <w:rFonts w:ascii="Times New Roman" w:hAnsi="Times New Roman"/>
          <w:i/>
          <w:sz w:val="20"/>
          <w:szCs w:val="20"/>
        </w:rPr>
        <w:t>Liczba</w:t>
      </w:r>
      <w:r w:rsidRPr="004564DF">
        <w:rPr>
          <w:rFonts w:ascii="Times New Roman" w:hAnsi="Times New Roman"/>
          <w:i/>
          <w:sz w:val="20"/>
          <w:szCs w:val="20"/>
        </w:rPr>
        <w:t xml:space="preserve"> i wartość podpisanych umów w podziale na subregiony</w:t>
      </w:r>
    </w:p>
    <w:p w:rsidR="004660EF" w:rsidRPr="004564DF" w:rsidRDefault="004660EF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>Większość umów została podpisana z przedsiębiorcami posiadającymi siedzibę na terytor</w:t>
      </w:r>
      <w:r w:rsidR="00633A1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ium subregionu centralnego – 57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% wszystkich umów. Podmioty posiadające siedzibę poza województwem śląskim realizują 2% umów – na pozostałe 41% stanowią projekty realizowane przez przedsiębiorstwa z subregionów południowego, północnego oraz zachodniego.</w:t>
      </w:r>
    </w:p>
    <w:p w:rsidR="004660EF" w:rsidRPr="004564DF" w:rsidRDefault="004660EF" w:rsidP="004564DF">
      <w:pPr>
        <w:spacing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</w:p>
    <w:p w:rsidR="00F23F78" w:rsidRPr="004564DF" w:rsidRDefault="004564DF" w:rsidP="004564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782467" cy="3156365"/>
            <wp:effectExtent l="12172" t="5935" r="6086" b="0"/>
            <wp:docPr id="11" name="Wykres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4660EF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7</w:t>
      </w:r>
      <w:r w:rsidR="004660EF" w:rsidRPr="004564DF">
        <w:rPr>
          <w:rFonts w:ascii="Times New Roman" w:hAnsi="Times New Roman"/>
          <w:sz w:val="20"/>
          <w:szCs w:val="20"/>
        </w:rPr>
        <w:t xml:space="preserve"> </w:t>
      </w:r>
      <w:r w:rsidR="004660EF" w:rsidRPr="004564DF">
        <w:rPr>
          <w:rFonts w:ascii="Times New Roman" w:hAnsi="Times New Roman"/>
          <w:i/>
          <w:sz w:val="20"/>
          <w:szCs w:val="20"/>
        </w:rPr>
        <w:t>% podpisanych umów w poszczególnych subregionach</w:t>
      </w:r>
    </w:p>
    <w:p w:rsidR="00373D27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Ze względu na dużą liczbę złożonych wniosków</w:t>
      </w:r>
      <w:r w:rsidR="00373D2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o dofinansowanie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, a w konsekwencji dużą wartość podpisanych umów, najwięcej środków wypłacono w subregionie centralnym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56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16 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mln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Pozostałe subregiony otrzymały łącznie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46,83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C50B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F23F78" w:rsidRPr="004564DF" w:rsidRDefault="004564DF" w:rsidP="004564DF">
      <w:pPr>
        <w:spacing w:before="240" w:after="120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364238" cy="3194663"/>
            <wp:effectExtent l="13247" t="5737" r="4140" b="0"/>
            <wp:docPr id="12" name="Wykres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D02CB6" w:rsidRPr="004564DF" w:rsidRDefault="00D02CB6" w:rsidP="004564DF">
      <w:pPr>
        <w:tabs>
          <w:tab w:val="left" w:pos="0"/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 xml:space="preserve">Wykres nr </w:t>
      </w:r>
      <w:r w:rsidR="00A34A01" w:rsidRPr="004564DF">
        <w:rPr>
          <w:rFonts w:ascii="Times New Roman" w:hAnsi="Times New Roman"/>
          <w:b/>
          <w:sz w:val="20"/>
          <w:szCs w:val="20"/>
        </w:rPr>
        <w:t>8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Wartość i liczba zakończonych projektów w podziale na subregiony</w:t>
      </w:r>
      <w:r w:rsidRPr="004564DF">
        <w:rPr>
          <w:rFonts w:ascii="Times New Roman" w:hAnsi="Times New Roman"/>
          <w:sz w:val="20"/>
          <w:szCs w:val="20"/>
        </w:rPr>
        <w:t>.</w:t>
      </w:r>
    </w:p>
    <w:p w:rsidR="0027111D" w:rsidRPr="004564DF" w:rsidRDefault="00373D27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>Na potrzeby niniejszego opracowania, p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rzeanalizowano jaki procent zakontraktowanego dofinansowania, został wypłacony beneficjentom w poszczególnych subregionach. Powyższa analiza wskazuje, że poziom wydatkowania zakontraktowanych środków jest podobny we wszystkich subregionach woj. śląskiego z niewielką dominacją subregionów po</w:t>
      </w:r>
      <w:r w:rsidR="00390C8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łudniowego i 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północnego, w których wypłacono 69% przyznanych do</w:t>
      </w:r>
      <w:r w:rsidR="00390C8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tacji. Najwolniej realizowane i 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rozliczane są projekty beneficjentów posiadających siedzibę poza woj. śląskim, gdzie wypłacono zaledwie 39% przyznanych środków. </w:t>
      </w:r>
    </w:p>
    <w:p w:rsidR="00F23F78" w:rsidRPr="004564DF" w:rsidRDefault="004564DF" w:rsidP="004564DF">
      <w:pPr>
        <w:spacing w:before="240" w:after="120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752338" cy="2431919"/>
            <wp:effectExtent l="12192" t="5185" r="7620" b="1296"/>
            <wp:docPr id="13" name="Wykres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390C89" w:rsidRPr="004564DF" w:rsidRDefault="00390C89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 xml:space="preserve">Wykres nr </w:t>
      </w:r>
      <w:r w:rsidR="00A34A01" w:rsidRPr="004564DF">
        <w:rPr>
          <w:rFonts w:ascii="Times New Roman" w:hAnsi="Times New Roman"/>
          <w:b/>
          <w:sz w:val="20"/>
          <w:szCs w:val="20"/>
        </w:rPr>
        <w:t>9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="00C414F5" w:rsidRPr="004564DF">
        <w:rPr>
          <w:rFonts w:ascii="Times New Roman" w:hAnsi="Times New Roman"/>
          <w:i/>
          <w:sz w:val="20"/>
          <w:szCs w:val="20"/>
        </w:rPr>
        <w:t>% wypłaconych środków z podpisanych umów</w:t>
      </w:r>
    </w:p>
    <w:p w:rsidR="00F23F78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Biorąc pod uwagę wartość dofinansowania w podpisanych umowach można wyznaczyć kwotę dotacji przypadającą na jedno przedsiębiorstwo z sektora MŚP. Najwyższa kwota dofinansowania przypada na projekty beneficjentów mających siedzibę w subregionie południowym (</w:t>
      </w:r>
      <w:r w:rsidR="008713A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464,16 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). W pozostałych subregionach kwoty dotacji przypadających na jedno przedsiębiorstwo są do siebie bardzo zbliżone. W subregionie centralnym ta kwota wynosi </w:t>
      </w:r>
      <w:r w:rsidR="008713A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329,36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8713A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Subregion centralny nie jest w tym przypadku dominujący biorąc pod uwagę liczb</w:t>
      </w:r>
      <w:r w:rsidR="002717F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ę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przedsiębiorców z sektora MŚP zlokalizowanych na tym obszarze.</w:t>
      </w:r>
    </w:p>
    <w:p w:rsidR="00F23F78" w:rsidRPr="004564DF" w:rsidRDefault="004564DF" w:rsidP="004564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467978" cy="2651651"/>
            <wp:effectExtent l="12815" t="4660" r="5607" b="1164"/>
            <wp:docPr id="14" name="Wykres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C414F5" w:rsidRPr="004564DF" w:rsidRDefault="00A34A01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eastAsia="Times New Roman" w:hAnsi="Times New Roman"/>
          <w:color w:val="000000"/>
          <w:sz w:val="20"/>
          <w:szCs w:val="20"/>
          <w:lang w:eastAsia="pl-PL"/>
        </w:rPr>
      </w:pPr>
      <w:r w:rsidRPr="004564DF">
        <w:rPr>
          <w:rFonts w:ascii="Times New Roman" w:hAnsi="Times New Roman"/>
          <w:b/>
          <w:sz w:val="20"/>
          <w:szCs w:val="20"/>
        </w:rPr>
        <w:t>Wykres nr 10</w:t>
      </w:r>
      <w:r w:rsidR="00C414F5" w:rsidRPr="004564DF">
        <w:rPr>
          <w:rFonts w:ascii="Times New Roman" w:hAnsi="Times New Roman"/>
          <w:sz w:val="20"/>
          <w:szCs w:val="20"/>
        </w:rPr>
        <w:t xml:space="preserve"> </w:t>
      </w:r>
      <w:r w:rsidR="00C414F5" w:rsidRPr="004564DF">
        <w:rPr>
          <w:rFonts w:ascii="Times New Roman" w:hAnsi="Times New Roman"/>
          <w:i/>
          <w:sz w:val="20"/>
          <w:szCs w:val="20"/>
        </w:rPr>
        <w:t>Średnia kwota dotacji przypadająca na jedno przedsiębiorstwo z sektora MŚP w podziale na subregiony</w:t>
      </w:r>
    </w:p>
    <w:p w:rsidR="00755823" w:rsidRPr="004564DF" w:rsidRDefault="004564DF" w:rsidP="004564DF">
      <w:pPr>
        <w:tabs>
          <w:tab w:val="left" w:pos="2835"/>
          <w:tab w:val="left" w:pos="12191"/>
          <w:tab w:val="left" w:pos="12333"/>
        </w:tabs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  <w:lang w:eastAsia="pl-PL"/>
        </w:rPr>
        <w:lastRenderedPageBreak/>
        <w:drawing>
          <wp:inline distT="0" distB="0" distL="0" distR="0">
            <wp:extent cx="6096677" cy="2681208"/>
            <wp:effectExtent l="11528" t="4842" r="6845" b="0"/>
            <wp:docPr id="15" name="Wykres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755823" w:rsidRPr="004564DF" w:rsidRDefault="00755823" w:rsidP="004564DF">
      <w:pPr>
        <w:tabs>
          <w:tab w:val="left" w:pos="2835"/>
          <w:tab w:val="left" w:pos="12191"/>
          <w:tab w:val="left" w:pos="12333"/>
        </w:tabs>
        <w:spacing w:after="100" w:afterAutospacing="1"/>
        <w:jc w:val="both"/>
        <w:rPr>
          <w:rFonts w:ascii="Times New Roman" w:eastAsia="Times New Roman" w:hAnsi="Times New Roman"/>
          <w:color w:val="000000"/>
          <w:sz w:val="20"/>
          <w:szCs w:val="20"/>
          <w:lang w:eastAsia="pl-PL"/>
        </w:rPr>
      </w:pPr>
      <w:r w:rsidRPr="004564DF">
        <w:rPr>
          <w:rFonts w:ascii="Times New Roman" w:hAnsi="Times New Roman"/>
          <w:b/>
          <w:sz w:val="20"/>
          <w:szCs w:val="20"/>
        </w:rPr>
        <w:t>Wykres nr 11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Liczba przedsiębiorstw z sektora MŚP przypadająca na 1 projekt realizowany z RPO WSL</w:t>
      </w:r>
    </w:p>
    <w:p w:rsidR="00F23F78" w:rsidRPr="004564DF" w:rsidRDefault="00F23F78" w:rsidP="004564DF">
      <w:pPr>
        <w:spacing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Analizując wartości średnie dla umów i zakończonych projektów najwyższ</w:t>
      </w:r>
      <w:r w:rsidR="0094219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ą średnią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wartość</w:t>
      </w:r>
      <w:r w:rsidR="0094219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projektu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(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310 tys.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) </w:t>
      </w:r>
      <w:r w:rsidR="0094219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mają przedsięwzięcia realizowane przez beneficjentów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 którzy posiadają siedzibę firmy poza obszarem woj. śląskiego. Wśród subregionów woj. śląskiego pod względem średniej wartości podpisanych umów dominuje subregion południowy (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195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 tys. 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), w subregionach północnym i zachodnim obserwuje się zbliżone wartości (odpowiednio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124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tys.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i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140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tys.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). Dla subregionu centralnego średnia wartość podpisanych umów wynosi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161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tys.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Analizując wnioski o płatność, obserwuje się tak jak w przypadku umów, najwyższą ich średnią wartość dla beneficjentów mających zarejestrowaną działalność poza woj. śląskim. Z regionów woj. śląskiego dominuje subregion południowy (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181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tys.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), w subregionie centralnym średnia wartość projektów wynosi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128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 tys.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, w zachodnim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108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tys.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, a w północnym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103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tys. </w:t>
      </w:r>
      <w:r w:rsidR="008B596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</w:t>
      </w:r>
    </w:p>
    <w:p w:rsidR="00F23F78" w:rsidRPr="004564DF" w:rsidRDefault="004564DF" w:rsidP="004564DF">
      <w:pPr>
        <w:spacing w:before="240" w:after="12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886221" cy="3289332"/>
            <wp:effectExtent l="12018" t="4595" r="7261" b="1723"/>
            <wp:docPr id="16" name="Wykres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942197" w:rsidRPr="004564DF" w:rsidRDefault="00942197" w:rsidP="004564DF">
      <w:pPr>
        <w:tabs>
          <w:tab w:val="left" w:pos="0"/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eastAsia="Times New Roman" w:hAnsi="Times New Roman"/>
          <w:color w:val="000000"/>
          <w:sz w:val="20"/>
          <w:szCs w:val="20"/>
          <w:lang w:eastAsia="pl-PL"/>
        </w:rPr>
      </w:pPr>
      <w:r w:rsidRPr="004564DF">
        <w:rPr>
          <w:rFonts w:ascii="Times New Roman" w:hAnsi="Times New Roman"/>
          <w:b/>
          <w:sz w:val="20"/>
          <w:szCs w:val="20"/>
        </w:rPr>
        <w:t>Wykres nr 1</w:t>
      </w:r>
      <w:r w:rsidR="00DF6232" w:rsidRPr="004564DF">
        <w:rPr>
          <w:rFonts w:ascii="Times New Roman" w:hAnsi="Times New Roman"/>
          <w:b/>
          <w:sz w:val="20"/>
          <w:szCs w:val="20"/>
        </w:rPr>
        <w:t>2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Średnie wartości umów i wniosków o płatność w subregionach województwa śląskiego</w:t>
      </w:r>
    </w:p>
    <w:p w:rsidR="00F23F78" w:rsidRPr="004564DF" w:rsidRDefault="00F23F78" w:rsidP="004564DF">
      <w:pPr>
        <w:jc w:val="both"/>
        <w:rPr>
          <w:rFonts w:ascii="Times New Roman" w:hAnsi="Times New Roman"/>
          <w:sz w:val="24"/>
          <w:szCs w:val="24"/>
        </w:rPr>
      </w:pPr>
    </w:p>
    <w:p w:rsidR="008B596A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>Średnie wartości dofinansowania podpisanych umów i zakończonych projektów w podziale na subregiony przedstawia poniższy wykres.</w:t>
      </w:r>
      <w:r w:rsidR="00FF07B3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Podobnie jak w przypadku wartości umów i wypłaconych wniosków o płatność dominują projekty realizowane przez przedsiębiorstwa spoza województwa śląskiego, natomiast najniższą wartość średnią dofinansowania mają projekty realizowane w subregionie północnym.</w:t>
      </w:r>
    </w:p>
    <w:p w:rsidR="00F23F78" w:rsidRPr="004564DF" w:rsidRDefault="004564DF" w:rsidP="004564DF">
      <w:pPr>
        <w:spacing w:after="12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480304" cy="4404256"/>
            <wp:effectExtent l="12192" t="5819" r="3429" b="0"/>
            <wp:docPr id="17" name="Wykres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FF07B3" w:rsidRPr="004564DF" w:rsidRDefault="00FF07B3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i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1</w:t>
      </w:r>
      <w:r w:rsidR="00DF6232" w:rsidRPr="004564DF">
        <w:rPr>
          <w:rFonts w:ascii="Times New Roman" w:hAnsi="Times New Roman"/>
          <w:b/>
          <w:sz w:val="20"/>
          <w:szCs w:val="20"/>
        </w:rPr>
        <w:t>3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Średnie wartości dofinansowania umów i wniosków o płatność w subregionach województwa śląskiego</w:t>
      </w:r>
    </w:p>
    <w:p w:rsidR="00A35D55" w:rsidRPr="004564DF" w:rsidRDefault="00A35D55" w:rsidP="004564DF">
      <w:pPr>
        <w:jc w:val="both"/>
        <w:rPr>
          <w:rFonts w:ascii="Times New Roman" w:hAnsi="Times New Roman"/>
          <w:sz w:val="24"/>
          <w:szCs w:val="24"/>
        </w:rPr>
      </w:pPr>
    </w:p>
    <w:p w:rsidR="005A1790" w:rsidRPr="004564DF" w:rsidRDefault="005A1790" w:rsidP="004564DF">
      <w:pPr>
        <w:pStyle w:val="Nagwek2"/>
        <w:numPr>
          <w:ilvl w:val="1"/>
          <w:numId w:val="1"/>
        </w:numPr>
        <w:jc w:val="both"/>
        <w:rPr>
          <w:rFonts w:ascii="Times New Roman" w:hAnsi="Times New Roman"/>
          <w:i w:val="0"/>
          <w:sz w:val="24"/>
          <w:szCs w:val="24"/>
        </w:rPr>
      </w:pPr>
      <w:bookmarkStart w:id="4" w:name="_Toc356809919"/>
      <w:r w:rsidRPr="004564DF">
        <w:rPr>
          <w:rFonts w:ascii="Times New Roman" w:hAnsi="Times New Roman"/>
          <w:i w:val="0"/>
          <w:sz w:val="24"/>
          <w:szCs w:val="24"/>
        </w:rPr>
        <w:t>Powiaty</w:t>
      </w:r>
      <w:bookmarkEnd w:id="4"/>
    </w:p>
    <w:p w:rsidR="00F23F78" w:rsidRPr="004564DF" w:rsidRDefault="005A1790" w:rsidP="004564DF">
      <w:pPr>
        <w:spacing w:before="100" w:beforeAutospacing="1" w:after="120"/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Na potrzeby niniejszego opracowanie dokonano analizy danych dotyczących liczby i wartości podpisanych umów oraz wniosków o płatność w podziale na powiaty, w który</w:t>
      </w:r>
      <w:r w:rsidR="00A35D5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ch zlokalizowana jest siedziba b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eneficjenta. 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Liczbę oraz wartość dofinansowania podpisanych umów dla Priorytetu I i III w podziale na powiaty przedstawiają poniższe wykresy.</w:t>
      </w:r>
    </w:p>
    <w:p w:rsidR="00F23F78" w:rsidRPr="004564DF" w:rsidRDefault="00F23F78" w:rsidP="004564DF">
      <w:pPr>
        <w:jc w:val="both"/>
        <w:rPr>
          <w:rFonts w:ascii="Times New Roman" w:hAnsi="Times New Roman"/>
          <w:sz w:val="24"/>
          <w:szCs w:val="24"/>
        </w:rPr>
      </w:pPr>
    </w:p>
    <w:p w:rsidR="00F23F78" w:rsidRPr="004564DF" w:rsidRDefault="00F23F78" w:rsidP="004564DF">
      <w:pPr>
        <w:jc w:val="both"/>
        <w:rPr>
          <w:rFonts w:ascii="Times New Roman" w:hAnsi="Times New Roman"/>
          <w:sz w:val="24"/>
          <w:szCs w:val="24"/>
        </w:rPr>
        <w:sectPr w:rsidR="00F23F78" w:rsidRPr="004564DF" w:rsidSect="00885A95">
          <w:footerReference w:type="default" r:id="rId27"/>
          <w:headerReference w:type="first" r:id="rId28"/>
          <w:pgSz w:w="11906" w:h="16838"/>
          <w:pgMar w:top="993" w:right="991" w:bottom="426" w:left="1276" w:header="138" w:footer="708" w:gutter="0"/>
          <w:pgNumType w:start="1" w:chapStyle="8"/>
          <w:cols w:space="708"/>
          <w:titlePg/>
          <w:docGrid w:linePitch="360"/>
        </w:sectPr>
      </w:pPr>
    </w:p>
    <w:p w:rsidR="0027111D" w:rsidRPr="004564DF" w:rsidRDefault="004564DF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9404985" cy="5721985"/>
            <wp:effectExtent l="19050" t="0" r="5715" b="0"/>
            <wp:docPr id="67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4985" cy="5721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1233" w:rsidRPr="004564DF" w:rsidRDefault="00B41233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F23F78" w:rsidRPr="004564DF" w:rsidRDefault="0027111D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1</w:t>
      </w:r>
      <w:r w:rsidR="00DF6232" w:rsidRPr="004564DF">
        <w:rPr>
          <w:rFonts w:ascii="Times New Roman" w:hAnsi="Times New Roman"/>
          <w:b/>
          <w:sz w:val="20"/>
          <w:szCs w:val="20"/>
        </w:rPr>
        <w:t>4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 xml:space="preserve">Liczba </w:t>
      </w:r>
      <w:r w:rsidR="00A35D55" w:rsidRPr="004564DF">
        <w:rPr>
          <w:rFonts w:ascii="Times New Roman" w:hAnsi="Times New Roman"/>
          <w:i/>
          <w:sz w:val="20"/>
          <w:szCs w:val="20"/>
        </w:rPr>
        <w:t>i wartość podpisanych umów w ramach Priorytetu I w podziale na powiaty woj. śląskiego</w:t>
      </w:r>
    </w:p>
    <w:p w:rsidR="00F23F78" w:rsidRPr="004564DF" w:rsidRDefault="004564DF" w:rsidP="004564D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9670415" cy="5741035"/>
            <wp:effectExtent l="19050" t="0" r="6985" b="0"/>
            <wp:docPr id="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0415" cy="574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35D55" w:rsidRPr="004564DF" w:rsidRDefault="00A35D55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1</w:t>
      </w:r>
      <w:r w:rsidR="00DF6232" w:rsidRPr="004564DF">
        <w:rPr>
          <w:rFonts w:ascii="Times New Roman" w:hAnsi="Times New Roman"/>
          <w:b/>
          <w:sz w:val="20"/>
          <w:szCs w:val="20"/>
        </w:rPr>
        <w:t>5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Liczba i wartość podpisanych umów w ramach Priorytetu III w podziale na powiaty woj. śląskiego</w:t>
      </w:r>
    </w:p>
    <w:p w:rsidR="00A35D55" w:rsidRPr="004564DF" w:rsidRDefault="00A35D55" w:rsidP="004564DF">
      <w:pPr>
        <w:jc w:val="both"/>
        <w:rPr>
          <w:rFonts w:ascii="Times New Roman" w:hAnsi="Times New Roman"/>
          <w:sz w:val="24"/>
          <w:szCs w:val="24"/>
        </w:rPr>
        <w:sectPr w:rsidR="00A35D55" w:rsidRPr="004564DF" w:rsidSect="00885A95">
          <w:pgSz w:w="16838" w:h="11906" w:orient="landscape"/>
          <w:pgMar w:top="709" w:right="993" w:bottom="1416" w:left="567" w:header="708" w:footer="708" w:gutter="0"/>
          <w:pgNumType w:chapStyle="8"/>
          <w:cols w:space="708"/>
          <w:docGrid w:linePitch="360"/>
        </w:sectPr>
      </w:pPr>
    </w:p>
    <w:p w:rsidR="00F23F78" w:rsidRPr="004564DF" w:rsidRDefault="003032B6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 xml:space="preserve">Jak wynika z powyższych wykresów w ramach Priorytetu I (projekty inwestycyjne i innowacyjne) największą kwotę dofinansowania –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12,05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C144C4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uzyskały przedsiębiorstwa z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powiatu m. Katowice (233 firmy). Na kolejnych miejscach plasują się powiat m. Częstochowa (189 projektów na kwotę dofinansowania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6,41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), powiat m. Gliwice (180 projektów na kwotę dofinansowania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8,90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) oraz powi</w:t>
      </w:r>
      <w:r w:rsidR="00C144C4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t m. Bielsko-Biała (179 projektów na kwotę dofinansowania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10,46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mln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). Najmniej wsparcia w ramach Priorytetu I trafiło do powiatów</w:t>
      </w:r>
      <w:r w:rsidR="00A1512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rybnickiego (12 projektów na kwotę dofinansowania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1,02</w:t>
      </w:r>
      <w:r w:rsidR="00A1512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A1512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) oraz bieruńsko-lędzińskiego (26 </w:t>
      </w:r>
      <w:r w:rsidR="00C144C4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projektów na łączną kwotę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1,13</w:t>
      </w:r>
      <w:r w:rsidR="00A1512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1A05E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A1512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).</w:t>
      </w:r>
    </w:p>
    <w:p w:rsidR="003032B6" w:rsidRPr="004564DF" w:rsidRDefault="00A1512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 ramach Priorytetu III najskuteczniej pozyskiwały wsparcie przedsiębiorstwa z powiatu cieszyńskiego (34 projekty na łączną kwotę dofinansowania </w:t>
      </w:r>
      <w:r w:rsidR="00A618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3,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9</w:t>
      </w:r>
      <w:r w:rsidR="00A618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618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) oraz przedsiębiorstwa posiadające siedzibę poza województwem śląskim (22 projekty na kwotę dofinansowania </w:t>
      </w:r>
      <w:r w:rsidR="00A618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2,84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618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). Najmniej natomiast wsparcia w obszarze turystyki trafiło do </w:t>
      </w:r>
      <w:r w:rsidR="00B93DF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powiatów m. Piekary Śląskie (1 projekt na kwotę dofinansowania </w:t>
      </w:r>
      <w:r w:rsidR="00A618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60 tys. EUR</w:t>
      </w:r>
      <w:r w:rsidR="00B93DF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) oraz rybnickiego (1 projekt na kwotę dofinansowania </w:t>
      </w:r>
      <w:r w:rsidR="00A618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50 tys. EUR</w:t>
      </w:r>
      <w:r w:rsidR="00B93DF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).</w:t>
      </w:r>
    </w:p>
    <w:p w:rsidR="00F23F78" w:rsidRPr="004564DF" w:rsidRDefault="005C3A22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Na obszarze woj. śląskiego najwięcej projektów finansowanych w ramach działania/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poddziałań 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skierowanych do przedsiębiorców realizowanych jest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powiatach grodzkich (miasta na prawach powiatu). Liderem jest powiat m. Katowice, w którym wsparcie otrzymało 246 projektów na kwotę dofinansowania </w:t>
      </w:r>
      <w:r w:rsidR="00A618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13,51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618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Na drugim miejscu pod względem liczby podpisanych umów znajduje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się m. Częstochowa,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którym zostało dofinansowanych 20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0 projektów na kwotę </w:t>
      </w:r>
      <w:r w:rsidR="00A618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7,81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618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K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olejnym powiatem jest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m.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Bielsko-Biała, w którym przedsiębiorcy podpisali 199 umów na łączną kwotę dofinansowania </w:t>
      </w:r>
      <w:r w:rsidR="004A613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12,55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4A613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Aktywni przedsiębiorcy są również w powiecie cieszyńskim, bielskim, m. Gliwice, m. Sosnowiec, w każdym dofinansowanie otrzymało ponad 100 projektów. Najmniej projektów realizowanych jest w powiecie rybnickim 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 m.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Jastrzębie Zdrój. W powiecie rybnickim zawarto tylko 13 umów na kwotę dofinansowania </w:t>
      </w:r>
      <w:r w:rsidR="004A613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1,07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 mln </w:t>
      </w:r>
      <w:r w:rsidR="004A613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Również w powiatach </w:t>
      </w:r>
      <w:r w:rsidR="003032B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bieruńsko-lędziński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</w:t>
      </w:r>
      <w:r w:rsidR="003032B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 m. Jastrzębie Zdrój oraz m. Ruda Śląska przedsiębiorcy nie byli skut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eczni w pozyskiwaniu wsparcia w </w:t>
      </w:r>
      <w:r w:rsidR="003032B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ramach RPO WSL. 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Wśród podpisanych umów</w:t>
      </w:r>
      <w:r w:rsidR="00B007E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44 dotyczyły projektów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realizowanych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przez przedsiębiorców, którzy posiadają firmy zarejestrowane poza obszarem województwa śląskiego. W dużej mierze są to firmy zarejestrowane w sąsiednich województwach: małopolskim i świętokrzyskim jak również przedsiębiorcy mający siedzibę w powiecie - m. st. Warszawa. </w:t>
      </w:r>
    </w:p>
    <w:p w:rsidR="00F23F78" w:rsidRPr="004564DF" w:rsidRDefault="00B93DFE" w:rsidP="004564DF">
      <w:pPr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Na poniższych mapach p</w:t>
      </w:r>
      <w:r w:rsidR="003032B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rzedstawiono rozkład terytor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ialny realizowanych projektów w </w:t>
      </w:r>
      <w:r w:rsidR="003032B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podziale na powiaty uwzględniając miejsce siedziby beneficjenta.</w:t>
      </w:r>
    </w:p>
    <w:p w:rsidR="00F23F78" w:rsidRPr="004564DF" w:rsidRDefault="00F23F78" w:rsidP="004564DF">
      <w:pPr>
        <w:jc w:val="both"/>
        <w:rPr>
          <w:rFonts w:ascii="Times New Roman" w:hAnsi="Times New Roman"/>
          <w:sz w:val="24"/>
          <w:szCs w:val="24"/>
        </w:rPr>
      </w:pPr>
    </w:p>
    <w:p w:rsidR="00F23F78" w:rsidRPr="004564DF" w:rsidRDefault="00F23F78" w:rsidP="004564DF">
      <w:pPr>
        <w:jc w:val="both"/>
        <w:rPr>
          <w:rFonts w:ascii="Times New Roman" w:hAnsi="Times New Roman"/>
          <w:sz w:val="24"/>
          <w:szCs w:val="24"/>
        </w:rPr>
      </w:pPr>
    </w:p>
    <w:p w:rsidR="007569AA" w:rsidRPr="004564DF" w:rsidRDefault="007569AA" w:rsidP="004564DF">
      <w:pPr>
        <w:jc w:val="both"/>
        <w:rPr>
          <w:rFonts w:ascii="Times New Roman" w:hAnsi="Times New Roman"/>
          <w:sz w:val="24"/>
          <w:szCs w:val="24"/>
        </w:rPr>
      </w:pPr>
    </w:p>
    <w:p w:rsidR="00F23F78" w:rsidRDefault="00F23F78" w:rsidP="004564DF">
      <w:pPr>
        <w:jc w:val="both"/>
        <w:rPr>
          <w:rFonts w:ascii="Times New Roman" w:hAnsi="Times New Roman"/>
          <w:sz w:val="24"/>
          <w:szCs w:val="24"/>
        </w:rPr>
      </w:pPr>
    </w:p>
    <w:p w:rsidR="004564DF" w:rsidRPr="004564DF" w:rsidRDefault="004564DF" w:rsidP="004564DF">
      <w:pPr>
        <w:jc w:val="both"/>
        <w:rPr>
          <w:rFonts w:ascii="Times New Roman" w:hAnsi="Times New Roman"/>
          <w:sz w:val="24"/>
          <w:szCs w:val="24"/>
        </w:rPr>
      </w:pPr>
    </w:p>
    <w:p w:rsidR="00DF6232" w:rsidRPr="004564DF" w:rsidRDefault="00DC665F" w:rsidP="004564DF">
      <w:pPr>
        <w:jc w:val="both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pict>
          <v:shape id="_x0000_s1082" type="#_x0000_t202" style="position:absolute;left:0;text-align:left;margin-left:-7.1pt;margin-top:8.1pt;width:473.25pt;height:51.75pt;z-index:251656192" stroked="f">
            <v:textbox style="mso-next-textbox:#_x0000_s1082">
              <w:txbxContent>
                <w:p w:rsidR="009364F5" w:rsidRPr="00864137" w:rsidRDefault="009364F5" w:rsidP="00DF6232">
                  <w:pPr>
                    <w:spacing w:after="0" w:line="240" w:lineRule="auto"/>
                    <w:ind w:left="-709"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  <w:t>Liczba projektów realizowanych w ramach poddziałań skierowanych do przedsiębiorców w poszczególnych powiatach woj. śląskiego</w:t>
                  </w:r>
                </w:p>
              </w:txbxContent>
            </v:textbox>
          </v:shape>
        </w:pict>
      </w:r>
    </w:p>
    <w:p w:rsidR="00DB5D9E" w:rsidRPr="004564DF" w:rsidRDefault="00DB5D9E" w:rsidP="004564DF">
      <w:pPr>
        <w:jc w:val="both"/>
        <w:rPr>
          <w:rFonts w:ascii="Times New Roman" w:hAnsi="Times New Roman"/>
          <w:noProof/>
          <w:sz w:val="24"/>
          <w:szCs w:val="24"/>
          <w:lang w:eastAsia="pl-PL"/>
        </w:rPr>
      </w:pPr>
    </w:p>
    <w:p w:rsidR="00F23F78" w:rsidRPr="004564DF" w:rsidRDefault="004564DF" w:rsidP="004564D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915025" cy="7953375"/>
            <wp:effectExtent l="19050" t="0" r="9525" b="0"/>
            <wp:docPr id="20" name="Obraz 13" descr="liczba projektów obra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3" descr="liczba projektów obraz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9AA" w:rsidRPr="004564DF" w:rsidRDefault="00855C90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Rysunek nr 1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="007569AA" w:rsidRPr="004564DF">
        <w:rPr>
          <w:rFonts w:ascii="Times New Roman" w:hAnsi="Times New Roman"/>
          <w:i/>
          <w:sz w:val="20"/>
          <w:szCs w:val="20"/>
        </w:rPr>
        <w:t xml:space="preserve">Liczba umów realizowanych w ramach poddziałań skierowanych do przedsiębiorców w poszczególnych powiatach woj. </w:t>
      </w:r>
      <w:r w:rsidR="00DF6232" w:rsidRPr="004564DF">
        <w:rPr>
          <w:rFonts w:ascii="Times New Roman" w:hAnsi="Times New Roman"/>
          <w:i/>
          <w:sz w:val="20"/>
          <w:szCs w:val="20"/>
        </w:rPr>
        <w:t>Ś</w:t>
      </w:r>
      <w:r w:rsidR="007569AA" w:rsidRPr="004564DF">
        <w:rPr>
          <w:rFonts w:ascii="Times New Roman" w:hAnsi="Times New Roman"/>
          <w:i/>
          <w:sz w:val="20"/>
          <w:szCs w:val="20"/>
        </w:rPr>
        <w:t>ląskiego</w:t>
      </w:r>
    </w:p>
    <w:p w:rsidR="00DF6232" w:rsidRPr="004564DF" w:rsidRDefault="00DF6232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F23F78" w:rsidRPr="004564DF" w:rsidRDefault="00DC665F" w:rsidP="004564D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pict>
          <v:shape id="_x0000_s1081" type="#_x0000_t202" style="position:absolute;left:0;text-align:left;margin-left:-18.35pt;margin-top:4.6pt;width:495.75pt;height:51.75pt;z-index:251655168" stroked="f">
            <v:textbox>
              <w:txbxContent>
                <w:p w:rsidR="009364F5" w:rsidRDefault="009364F5" w:rsidP="00F23F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</w:pPr>
                  <w:r w:rsidRPr="00864137"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  <w:t>W</w:t>
                  </w:r>
                  <w:r>
                    <w:rPr>
                      <w:rFonts w:ascii="Times New Roman" w:hAnsi="Times New Roman"/>
                      <w:b/>
                      <w:i/>
                      <w:sz w:val="24"/>
                      <w:szCs w:val="24"/>
                    </w:rPr>
                    <w:t>artość dofinansowania projektów realizowanych w ramach poddziałań skierowanych do przedsiębiorców w poszczególnych powiatach woj. śląskiego</w:t>
                  </w:r>
                </w:p>
              </w:txbxContent>
            </v:textbox>
          </v:shape>
        </w:pict>
      </w:r>
    </w:p>
    <w:p w:rsidR="00F23F78" w:rsidRPr="004564DF" w:rsidRDefault="004564DF" w:rsidP="004564D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943600" cy="8143875"/>
            <wp:effectExtent l="19050" t="0" r="0" b="0"/>
            <wp:docPr id="21" name="Obraz 21" descr="E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UR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4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9AA" w:rsidRPr="004564DF" w:rsidRDefault="007569AA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Rysunek</w:t>
      </w:r>
      <w:r w:rsidR="00AA2586" w:rsidRPr="004564DF">
        <w:rPr>
          <w:rFonts w:ascii="Times New Roman" w:hAnsi="Times New Roman"/>
          <w:b/>
          <w:sz w:val="20"/>
          <w:szCs w:val="20"/>
        </w:rPr>
        <w:t xml:space="preserve"> nr 2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Wartość dofinansowania projektów realizowanych w ramach poddziałań skierowanych do przedsiębiorców w poszczególnych powiatach woj. śląskiego</w:t>
      </w:r>
    </w:p>
    <w:p w:rsidR="007569AA" w:rsidRPr="004564DF" w:rsidRDefault="007569AA" w:rsidP="004564DF">
      <w:pPr>
        <w:jc w:val="both"/>
        <w:rPr>
          <w:rFonts w:ascii="Times New Roman" w:hAnsi="Times New Roman"/>
          <w:sz w:val="24"/>
          <w:szCs w:val="24"/>
        </w:rPr>
        <w:sectPr w:rsidR="007569AA" w:rsidRPr="004564DF" w:rsidSect="00885A95">
          <w:pgSz w:w="11906" w:h="16838"/>
          <w:pgMar w:top="993" w:right="1416" w:bottom="567" w:left="1417" w:header="708" w:footer="708" w:gutter="0"/>
          <w:pgNumType w:chapStyle="8"/>
          <w:cols w:space="708"/>
          <w:docGrid w:linePitch="360"/>
        </w:sectPr>
      </w:pPr>
    </w:p>
    <w:p w:rsidR="00F23F78" w:rsidRPr="00755478" w:rsidRDefault="00F8256C" w:rsidP="00755478">
      <w:pPr>
        <w:pStyle w:val="Nagwek1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bookmarkStart w:id="5" w:name="_Toc356809920"/>
      <w:r w:rsidRPr="004564DF">
        <w:rPr>
          <w:rFonts w:ascii="Times New Roman" w:hAnsi="Times New Roman"/>
          <w:sz w:val="24"/>
          <w:szCs w:val="24"/>
        </w:rPr>
        <w:lastRenderedPageBreak/>
        <w:t>Charakterystyka projektów przedsiębiorców realizowanych z udziałem środków RPO WSL</w:t>
      </w:r>
      <w:bookmarkEnd w:id="5"/>
    </w:p>
    <w:p w:rsidR="00F23F78" w:rsidRPr="004564DF" w:rsidRDefault="0057435B" w:rsidP="004564DF">
      <w:pPr>
        <w:pStyle w:val="Nagwek2"/>
        <w:numPr>
          <w:ilvl w:val="1"/>
          <w:numId w:val="5"/>
        </w:numPr>
        <w:jc w:val="both"/>
        <w:rPr>
          <w:rFonts w:ascii="Times New Roman" w:hAnsi="Times New Roman"/>
          <w:i w:val="0"/>
          <w:sz w:val="24"/>
          <w:szCs w:val="24"/>
        </w:rPr>
      </w:pPr>
      <w:r w:rsidRPr="004564DF">
        <w:rPr>
          <w:rFonts w:ascii="Times New Roman" w:hAnsi="Times New Roman"/>
          <w:i w:val="0"/>
          <w:sz w:val="24"/>
          <w:szCs w:val="24"/>
        </w:rPr>
        <w:t xml:space="preserve"> </w:t>
      </w:r>
      <w:bookmarkStart w:id="6" w:name="_Toc356809921"/>
      <w:r w:rsidR="00F23F78" w:rsidRPr="004564DF">
        <w:rPr>
          <w:rFonts w:ascii="Times New Roman" w:hAnsi="Times New Roman"/>
          <w:i w:val="0"/>
          <w:sz w:val="24"/>
          <w:szCs w:val="24"/>
        </w:rPr>
        <w:t>Typy projektów</w:t>
      </w:r>
      <w:bookmarkEnd w:id="6"/>
    </w:p>
    <w:p w:rsidR="00F23F78" w:rsidRPr="004564DF" w:rsidRDefault="00F23F78" w:rsidP="004564DF">
      <w:pPr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Projekty</w:t>
      </w:r>
      <w:r w:rsidR="00433B6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realizowane przez przedsiębiorców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w ramach</w:t>
      </w:r>
      <w:r w:rsidR="00433B6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RPO WSL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można podzielić na trzy typy: inwestycyjne (zarówno o charakterze innowacyjnym jak i mające na celu podniesienie konkurencyjność przedsiębio</w:t>
      </w:r>
      <w:r w:rsidR="008257B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rstw z sektora MŚP), doradcze i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targowe. </w:t>
      </w:r>
      <w:r w:rsidR="00133EF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Należy zwrócić uwagę, iż wysokość maksymalnej kwoty dofinansowania </w:t>
      </w:r>
      <w:r w:rsidR="00D63C3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uzależniona jest od typu projektu oraz wielkości beneficjenta:</w:t>
      </w:r>
    </w:p>
    <w:p w:rsidR="00D63C3F" w:rsidRPr="004A0091" w:rsidRDefault="00D63C3F" w:rsidP="004A0091">
      <w:pPr>
        <w:pStyle w:val="Akapitzlist"/>
        <w:numPr>
          <w:ilvl w:val="0"/>
          <w:numId w:val="15"/>
        </w:numPr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maksymalna kwota dofinansowania projektów inwestycyjnych dla mikroprzedsiębiorstw wynosi 200 000 PLN</w:t>
      </w:r>
      <w:r w:rsidR="0037203E"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(48 819 EUR)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D63C3F" w:rsidRPr="004A0091" w:rsidRDefault="00D63C3F" w:rsidP="004A0091">
      <w:pPr>
        <w:pStyle w:val="Akapitzlist"/>
        <w:numPr>
          <w:ilvl w:val="0"/>
          <w:numId w:val="15"/>
        </w:numPr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maksymalna kwota dofinansowania projek</w:t>
      </w:r>
      <w:r w:rsidR="00C478D8"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tów inwestycyjnych dla małych i </w:t>
      </w: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średnich przedsiębiorstw wynosi 750 000 PLN</w:t>
      </w:r>
      <w:r w:rsidR="0037203E"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(183 069 EUR)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D63C3F" w:rsidRPr="004A0091" w:rsidRDefault="00D63C3F" w:rsidP="004A0091">
      <w:pPr>
        <w:pStyle w:val="Akapitzlist"/>
        <w:numPr>
          <w:ilvl w:val="0"/>
          <w:numId w:val="15"/>
        </w:numPr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maksymalna kwota dofinansowania projektów targowych wynosi 50</w:t>
      </w:r>
      <w:r w:rsidR="0037203E"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 </w:t>
      </w: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000</w:t>
      </w:r>
      <w:r w:rsidR="0037203E"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PLN (12 205 EUR)</w:t>
      </w: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 a projektów dotyczących udziału</w:t>
      </w:r>
      <w:r w:rsidR="0037203E"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w misjach zagranicznych 20 000 </w:t>
      </w: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PLN </w:t>
      </w:r>
      <w:r w:rsidR="0037203E"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(4 882 EUR)</w:t>
      </w: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(projekty ujęte w poniższych analizach jako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targowe),</w:t>
      </w:r>
    </w:p>
    <w:p w:rsidR="00D63C3F" w:rsidRPr="004A0091" w:rsidRDefault="00D63C3F" w:rsidP="004A0091">
      <w:pPr>
        <w:pStyle w:val="Akapitzlist"/>
        <w:numPr>
          <w:ilvl w:val="0"/>
          <w:numId w:val="15"/>
        </w:numPr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maksymalna kwota dofinansowania projektów doradczych wynosi 30 000 PLN</w:t>
      </w:r>
      <w:r w:rsidR="0037203E"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(7 323 EUR)</w:t>
      </w: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F23F78" w:rsidRPr="004564DF" w:rsidRDefault="00F23F78" w:rsidP="004564DF">
      <w:pPr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Zestawiając liczbę podpisanych umów w poszczególnych regionach z podziałem na typy projektów, obserwuje się dominację projektów inwestycyjnych, na drugim miejscu znajdują się projekty targowe, najmniej umów zawarto na </w:t>
      </w:r>
      <w:r w:rsidR="00C478D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realizację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projekt</w:t>
      </w:r>
      <w:r w:rsidR="00C478D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ów o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charakterze doradczym. Sumarycznie podpisano 25 umów na projekty o charakterze doradczym. </w:t>
      </w:r>
    </w:p>
    <w:p w:rsidR="00C478D8" w:rsidRPr="004564DF" w:rsidRDefault="004564DF" w:rsidP="004564DF">
      <w:pPr>
        <w:tabs>
          <w:tab w:val="left" w:pos="2835"/>
          <w:tab w:val="left" w:pos="12191"/>
          <w:tab w:val="left" w:pos="12333"/>
        </w:tabs>
        <w:spacing w:before="120" w:after="0"/>
        <w:ind w:left="284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741876" cy="3040098"/>
            <wp:effectExtent l="12072" t="6021" r="8677" b="1881"/>
            <wp:docPr id="22" name="Wykres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855C90" w:rsidRPr="004564DF" w:rsidRDefault="00855C90" w:rsidP="004564DF">
      <w:pPr>
        <w:tabs>
          <w:tab w:val="left" w:pos="2835"/>
          <w:tab w:val="left" w:pos="12191"/>
          <w:tab w:val="left" w:pos="12333"/>
        </w:tabs>
        <w:spacing w:before="120" w:after="0"/>
        <w:jc w:val="both"/>
        <w:rPr>
          <w:rFonts w:ascii="Times New Roman" w:hAnsi="Times New Roman"/>
          <w:i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1</w:t>
      </w:r>
      <w:r w:rsidR="00DF6232" w:rsidRPr="004564DF">
        <w:rPr>
          <w:rFonts w:ascii="Times New Roman" w:hAnsi="Times New Roman"/>
          <w:b/>
          <w:sz w:val="20"/>
          <w:szCs w:val="20"/>
        </w:rPr>
        <w:t>6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="00C478D8" w:rsidRPr="004564DF">
        <w:rPr>
          <w:rFonts w:ascii="Times New Roman" w:hAnsi="Times New Roman"/>
          <w:i/>
          <w:sz w:val="20"/>
          <w:szCs w:val="20"/>
        </w:rPr>
        <w:t>Liczba zawartych umów w podziale na subregiony oraz typy projektów</w:t>
      </w:r>
    </w:p>
    <w:p w:rsidR="004A0091" w:rsidRDefault="004A0091" w:rsidP="004564DF">
      <w:pPr>
        <w:jc w:val="both"/>
        <w:rPr>
          <w:rFonts w:ascii="Times New Roman" w:hAnsi="Times New Roman"/>
          <w:i/>
          <w:sz w:val="24"/>
          <w:szCs w:val="24"/>
        </w:rPr>
      </w:pPr>
    </w:p>
    <w:p w:rsidR="00DF6232" w:rsidRPr="004564DF" w:rsidRDefault="00DF6232" w:rsidP="004564DF">
      <w:pPr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t xml:space="preserve">Biorąc pod uwagę liczbę podpisanych umów dla poszczególnych typów projektów jako procent łącznej liczby umów, obserwuje się, że najwięcej umów zostało podpisanych dla </w:t>
      </w:r>
      <w:r w:rsidRPr="004564DF">
        <w:rPr>
          <w:rFonts w:ascii="Times New Roman" w:hAnsi="Times New Roman"/>
          <w:sz w:val="24"/>
          <w:szCs w:val="24"/>
        </w:rPr>
        <w:lastRenderedPageBreak/>
        <w:t>projektów inwestycyjnych (70%), projekty targowe stanowią 29%, a doradcze 1% ogólnej liczby podpisanych umów.</w:t>
      </w:r>
    </w:p>
    <w:p w:rsidR="00DF6232" w:rsidRPr="004564DF" w:rsidRDefault="004564DF" w:rsidP="004564DF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741876" cy="2651444"/>
            <wp:effectExtent l="12072" t="6031" r="8677" b="0"/>
            <wp:docPr id="23" name="Wykres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DF6232" w:rsidRPr="004564DF" w:rsidRDefault="00DF6232" w:rsidP="004564DF">
      <w:pPr>
        <w:tabs>
          <w:tab w:val="left" w:pos="2835"/>
          <w:tab w:val="left" w:pos="12191"/>
          <w:tab w:val="left" w:pos="12333"/>
        </w:tabs>
        <w:spacing w:before="120" w:after="0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17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>Liczba zawartych umów w podziale na subregiony oraz typy projektów- udział %</w:t>
      </w:r>
    </w:p>
    <w:p w:rsidR="00F23F78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Podpisane dotychczas umowy w ujęciu wartościowym (EFRR+ dofinansowan</w:t>
      </w:r>
      <w:r w:rsidR="00933D5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ie z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budżetu państwa) dotyczyły przede wszystkim projektów inwestycyjnych - 97,05% ogólnej wartości dofinansowania podpisanych umów. Projekty dorad</w:t>
      </w:r>
      <w:r w:rsidR="00133EF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cze i targowe stanowią w sumie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2,95 % ogólnej wartości dofinansowania zawartych umów.</w:t>
      </w:r>
    </w:p>
    <w:p w:rsidR="00C478D8" w:rsidRPr="004564DF" w:rsidRDefault="004564DF" w:rsidP="004564DF">
      <w:pPr>
        <w:tabs>
          <w:tab w:val="left" w:pos="2835"/>
          <w:tab w:val="left" w:pos="12191"/>
          <w:tab w:val="left" w:pos="12333"/>
        </w:tabs>
        <w:spacing w:before="240" w:after="120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742017" cy="2851301"/>
            <wp:effectExtent l="18784" t="6199" r="11349" b="0"/>
            <wp:docPr id="24" name="Wykres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C478D8" w:rsidRPr="004564DF" w:rsidRDefault="00C478D8" w:rsidP="004564DF">
      <w:pPr>
        <w:tabs>
          <w:tab w:val="left" w:pos="2835"/>
          <w:tab w:val="left" w:pos="12191"/>
          <w:tab w:val="left" w:pos="12333"/>
        </w:tabs>
        <w:spacing w:before="120" w:after="120"/>
        <w:ind w:left="284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1</w:t>
      </w:r>
      <w:r w:rsidR="00DF6232" w:rsidRPr="004564DF">
        <w:rPr>
          <w:rFonts w:ascii="Times New Roman" w:hAnsi="Times New Roman"/>
          <w:b/>
          <w:sz w:val="20"/>
          <w:szCs w:val="20"/>
        </w:rPr>
        <w:t>8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Pr="004564DF">
        <w:rPr>
          <w:rFonts w:ascii="Times New Roman" w:hAnsi="Times New Roman"/>
          <w:i/>
          <w:sz w:val="20"/>
          <w:szCs w:val="20"/>
        </w:rPr>
        <w:t xml:space="preserve">Wartość umów </w:t>
      </w:r>
      <w:r w:rsidR="0048579F" w:rsidRPr="004564DF">
        <w:rPr>
          <w:rFonts w:ascii="Times New Roman" w:hAnsi="Times New Roman"/>
          <w:i/>
          <w:sz w:val="20"/>
          <w:szCs w:val="20"/>
        </w:rPr>
        <w:t>zawartych na realizację poszczególnych typów projektów – ujęcie %</w:t>
      </w:r>
    </w:p>
    <w:p w:rsidR="00AE4686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Analizując wielkość środków wypłaconych </w:t>
      </w:r>
      <w:r w:rsidR="00933D5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dla poszczególnych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typ</w:t>
      </w:r>
      <w:r w:rsidR="00933D5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ów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projektów, obserwuje się t</w:t>
      </w:r>
      <w:r w:rsidR="00133EF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ak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ą samą tendencję, jaka ma miejsce w przypadku zawartych umów. Do dnia 31 grudnia 2012 r. największe wsparcie o</w:t>
      </w:r>
      <w:r w:rsidR="00AE468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trzymały projekty inwestycyjne.</w:t>
      </w:r>
    </w:p>
    <w:p w:rsidR="00F23F78" w:rsidRPr="004564DF" w:rsidRDefault="00133EFF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>W</w:t>
      </w:r>
      <w:r w:rsidR="00933D5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 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subregionie centralnym jest to wartość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54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, w południowym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23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, </w:t>
      </w:r>
      <w:r w:rsidR="00933D5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 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północnym i zachodnim odpowiednio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11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933D5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mln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933D5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i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9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Projekty inwestycyjne beneficjentów </w:t>
      </w:r>
      <w:r w:rsidR="0048579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poza woj. śląski</w:t>
      </w:r>
      <w:r w:rsidR="0048579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ego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otrzymały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2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dofinansowania. Na projekty doradcze została wypłacona łączna kwota dofinansowa</w:t>
      </w:r>
      <w:r w:rsidR="00933D5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nia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212</w:t>
      </w:r>
      <w:r w:rsidR="00933D5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tys.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933D5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 a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na targowe 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ok.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3,6</w:t>
      </w:r>
      <w:r w:rsidR="00AE468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 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mln </w:t>
      </w:r>
      <w:r w:rsidR="00A1100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48579F" w:rsidRPr="004564DF" w:rsidRDefault="004564DF" w:rsidP="004564DF">
      <w:pPr>
        <w:tabs>
          <w:tab w:val="left" w:pos="2835"/>
          <w:tab w:val="left" w:pos="12191"/>
          <w:tab w:val="left" w:pos="12333"/>
        </w:tabs>
        <w:spacing w:before="120" w:after="120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743813" cy="3594358"/>
            <wp:effectExtent l="11727" t="5848" r="7085" b="244"/>
            <wp:docPr id="25" name="Wykres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48579F" w:rsidRPr="004564DF" w:rsidRDefault="0048579F" w:rsidP="004564DF">
      <w:pPr>
        <w:tabs>
          <w:tab w:val="left" w:pos="2835"/>
          <w:tab w:val="left" w:pos="12191"/>
          <w:tab w:val="left" w:pos="12333"/>
        </w:tabs>
        <w:spacing w:before="120" w:after="120"/>
        <w:jc w:val="both"/>
        <w:rPr>
          <w:rFonts w:ascii="Times New Roman" w:hAnsi="Times New Roman"/>
          <w:i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>Wykres nr 1</w:t>
      </w:r>
      <w:r w:rsidR="00DF6232" w:rsidRPr="004564DF">
        <w:rPr>
          <w:rFonts w:ascii="Times New Roman" w:hAnsi="Times New Roman"/>
          <w:b/>
          <w:sz w:val="20"/>
          <w:szCs w:val="20"/>
        </w:rPr>
        <w:t>9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="00846D7F" w:rsidRPr="004564DF">
        <w:rPr>
          <w:rFonts w:ascii="Times New Roman" w:hAnsi="Times New Roman"/>
          <w:i/>
          <w:sz w:val="20"/>
          <w:szCs w:val="20"/>
        </w:rPr>
        <w:t>Środki wypłacone beneficjentom na realizację poszczególnych typów projektów w podziale na subregiony</w:t>
      </w:r>
    </w:p>
    <w:p w:rsidR="00F23F78" w:rsidRPr="004564DF" w:rsidRDefault="00F23F78" w:rsidP="004564DF">
      <w:pPr>
        <w:pStyle w:val="Nagwek2"/>
        <w:numPr>
          <w:ilvl w:val="1"/>
          <w:numId w:val="5"/>
        </w:numPr>
        <w:jc w:val="both"/>
        <w:rPr>
          <w:rFonts w:ascii="Times New Roman" w:hAnsi="Times New Roman"/>
          <w:i w:val="0"/>
          <w:sz w:val="24"/>
          <w:szCs w:val="24"/>
        </w:rPr>
      </w:pPr>
      <w:bookmarkStart w:id="7" w:name="_Toc356809922"/>
      <w:r w:rsidRPr="004564DF">
        <w:rPr>
          <w:rFonts w:ascii="Times New Roman" w:hAnsi="Times New Roman"/>
          <w:i w:val="0"/>
          <w:sz w:val="24"/>
          <w:szCs w:val="24"/>
        </w:rPr>
        <w:t>Kategorie interwencji</w:t>
      </w:r>
      <w:bookmarkEnd w:id="7"/>
    </w:p>
    <w:p w:rsidR="00F23F78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Projekty </w:t>
      </w:r>
      <w:r w:rsidR="00155CB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realizowane przez przedsiębiorców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 ramach </w:t>
      </w:r>
      <w:r w:rsidR="00155CB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RPO WSL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dotyczyły </w:t>
      </w:r>
      <w:r w:rsidR="00991D3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następujących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kategorii interwencji:</w:t>
      </w:r>
    </w:p>
    <w:p w:rsidR="00F23F78" w:rsidRPr="004A0091" w:rsidRDefault="00F23F78" w:rsidP="004A0091">
      <w:pPr>
        <w:pStyle w:val="Akapitzlist"/>
        <w:numPr>
          <w:ilvl w:val="0"/>
          <w:numId w:val="16"/>
        </w:numPr>
        <w:spacing w:before="100" w:beforeAutospacing="1" w:after="120"/>
        <w:ind w:left="851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08 Inn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 inwestycje w przedsiębiorstwa,</w:t>
      </w:r>
    </w:p>
    <w:p w:rsidR="00F23F78" w:rsidRPr="004A0091" w:rsidRDefault="00F23F78" w:rsidP="004A0091">
      <w:pPr>
        <w:pStyle w:val="Akapitzlist"/>
        <w:numPr>
          <w:ilvl w:val="0"/>
          <w:numId w:val="16"/>
        </w:numPr>
        <w:spacing w:before="100" w:beforeAutospacing="1" w:after="120"/>
        <w:ind w:left="851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07 Inwestycje w przedsiębiorstwa bezpośrednio związane z dziedziną badań </w:t>
      </w: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br/>
        <w:t>i innowacji (innowacyjne technologie, tworzenie przedsiębiorstw przez uczelnie, istniejące ośrodki B+RT i przedsiębiorstwa itp.)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F23F78" w:rsidRPr="004A0091" w:rsidRDefault="00F23F78" w:rsidP="004A0091">
      <w:pPr>
        <w:pStyle w:val="Akapitzlist"/>
        <w:numPr>
          <w:ilvl w:val="0"/>
          <w:numId w:val="16"/>
        </w:numPr>
        <w:spacing w:before="100" w:beforeAutospacing="1" w:after="120"/>
        <w:ind w:left="851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05 Usługi w zakresie zaawansowanego wsparcia dla przedsiębiorstw i grup przedsiębiorstw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</w:p>
    <w:p w:rsidR="00F23F78" w:rsidRPr="004A0091" w:rsidRDefault="00F23F78" w:rsidP="004A0091">
      <w:pPr>
        <w:pStyle w:val="Akapitzlist"/>
        <w:numPr>
          <w:ilvl w:val="0"/>
          <w:numId w:val="16"/>
        </w:numPr>
        <w:spacing w:before="100" w:beforeAutospacing="1" w:after="120"/>
        <w:ind w:left="851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04 Wspieranie na rzecz rozwoju B+R, w szczególności w MŚP (w tym dostęp do usług związanych z B+R w ośrodkach badawczych)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F23F78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skład kategorii interwencji 08 wchodzą</w:t>
      </w:r>
      <w:r w:rsidR="00991D3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zarówno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projekty targowe</w:t>
      </w:r>
      <w:r w:rsidR="00991D3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 jak  i o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charakterze inwestycyjnym. Projekty z obszaru wsparcia 07 są projektami inwestycyjnymi o wysokim potencjale innowacyjności, kategoria interwencji 05 dotyczy projektów doradcz</w:t>
      </w:r>
      <w:r w:rsidR="00991D3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ych. Natomiast w skład kategorii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interwencji 04 </w:t>
      </w:r>
      <w:r w:rsidR="00991D3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wchodzą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projekty inwestycyjne dotyczące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>podjęcia lub rozwoju działalności B+R w MŚP.</w:t>
      </w:r>
      <w:r w:rsidR="00DF623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Indykatywna alokacja przeznaczona na poszczególne kategorie interwencji </w:t>
      </w:r>
      <w:r w:rsidR="00DF623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 ujęciu procentowym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przedstawia się następująco:</w:t>
      </w:r>
    </w:p>
    <w:p w:rsidR="00155CB2" w:rsidRPr="004564DF" w:rsidRDefault="004564DF" w:rsidP="004564DF">
      <w:pPr>
        <w:tabs>
          <w:tab w:val="left" w:pos="2835"/>
          <w:tab w:val="left" w:pos="12191"/>
          <w:tab w:val="left" w:pos="12333"/>
        </w:tabs>
        <w:spacing w:before="240" w:after="0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609429" cy="3042798"/>
            <wp:effectExtent l="12213" t="5202" r="7633" b="0"/>
            <wp:docPr id="26" name="Wykres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155CB2" w:rsidRPr="004564DF" w:rsidRDefault="00155CB2" w:rsidP="004564DF">
      <w:pPr>
        <w:tabs>
          <w:tab w:val="left" w:pos="2835"/>
          <w:tab w:val="left" w:pos="12191"/>
          <w:tab w:val="left" w:pos="12333"/>
        </w:tabs>
        <w:spacing w:before="120" w:after="0"/>
        <w:ind w:left="284"/>
        <w:jc w:val="both"/>
        <w:rPr>
          <w:rFonts w:ascii="Times New Roman" w:hAnsi="Times New Roman"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 xml:space="preserve">Wykres </w:t>
      </w:r>
      <w:r w:rsidR="00DF6232" w:rsidRPr="004564DF">
        <w:rPr>
          <w:rFonts w:ascii="Times New Roman" w:hAnsi="Times New Roman"/>
          <w:b/>
          <w:sz w:val="20"/>
          <w:szCs w:val="20"/>
        </w:rPr>
        <w:t>nr 20</w:t>
      </w:r>
      <w:r w:rsidR="00DF6232" w:rsidRPr="004564DF">
        <w:rPr>
          <w:rFonts w:ascii="Times New Roman" w:hAnsi="Times New Roman"/>
          <w:sz w:val="20"/>
          <w:szCs w:val="20"/>
        </w:rPr>
        <w:t xml:space="preserve"> </w:t>
      </w:r>
      <w:r w:rsidR="00CC2C58" w:rsidRPr="004564DF">
        <w:rPr>
          <w:rFonts w:ascii="Times New Roman" w:hAnsi="Times New Roman"/>
          <w:i/>
          <w:sz w:val="20"/>
          <w:szCs w:val="20"/>
        </w:rPr>
        <w:t>% udział alokacji na poszczególne kategorie interwencji realizowane w ramach poddziałań przeznaczonych dla przedsiębiorców</w:t>
      </w:r>
    </w:p>
    <w:p w:rsidR="00F23F78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Udział procentowy projektów według kategorii interwencji w ujęciu wartościowym dla zawartych umów przedstawia poniższy wykres:</w:t>
      </w:r>
    </w:p>
    <w:p w:rsidR="00F23F78" w:rsidRPr="004564DF" w:rsidRDefault="004564DF" w:rsidP="004564DF">
      <w:pPr>
        <w:spacing w:before="240" w:after="120"/>
        <w:jc w:val="both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434527" cy="2851363"/>
            <wp:effectExtent l="18320" t="6137" r="14503" b="0"/>
            <wp:docPr id="27" name="Wykres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CC2C58" w:rsidRPr="004564DF" w:rsidRDefault="00CC2C58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i/>
          <w:sz w:val="20"/>
          <w:szCs w:val="20"/>
        </w:rPr>
      </w:pPr>
      <w:r w:rsidRPr="004564DF">
        <w:rPr>
          <w:rFonts w:ascii="Times New Roman" w:hAnsi="Times New Roman"/>
          <w:b/>
          <w:sz w:val="20"/>
          <w:szCs w:val="20"/>
        </w:rPr>
        <w:t xml:space="preserve">Wykres nr </w:t>
      </w:r>
      <w:r w:rsidR="00DF6232" w:rsidRPr="004564DF">
        <w:rPr>
          <w:rFonts w:ascii="Times New Roman" w:hAnsi="Times New Roman"/>
          <w:b/>
          <w:sz w:val="20"/>
          <w:szCs w:val="20"/>
        </w:rPr>
        <w:t>2</w:t>
      </w:r>
      <w:r w:rsidRPr="004564DF">
        <w:rPr>
          <w:rFonts w:ascii="Times New Roman" w:hAnsi="Times New Roman"/>
          <w:b/>
          <w:sz w:val="20"/>
          <w:szCs w:val="20"/>
        </w:rPr>
        <w:t>1</w:t>
      </w:r>
      <w:r w:rsidRPr="004564DF">
        <w:rPr>
          <w:rFonts w:ascii="Times New Roman" w:hAnsi="Times New Roman"/>
          <w:sz w:val="20"/>
          <w:szCs w:val="20"/>
        </w:rPr>
        <w:t xml:space="preserve"> </w:t>
      </w:r>
      <w:r w:rsidR="00597585" w:rsidRPr="004564DF">
        <w:rPr>
          <w:rFonts w:ascii="Times New Roman" w:hAnsi="Times New Roman"/>
          <w:i/>
          <w:sz w:val="20"/>
          <w:szCs w:val="20"/>
        </w:rPr>
        <w:t>Wartość umów o dofinansowanie w podziale na kategorie interwencji – ujęcie %</w:t>
      </w:r>
    </w:p>
    <w:p w:rsidR="00F23F78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Analizując liczbę podpisanych umów w poszczególnych regionach z podziałem na kategorie interwencji, można zauważyć we wszystkich </w:t>
      </w:r>
      <w:r w:rsidR="0096729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regionach dominację projektów z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kategorii interwencji 08 czyli Inne inwestycje w przedsiębiorstwa (1257 zawartych umów w subregionie centralnym). We wszystkich subregionach na drugim miejscu znajdują się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 xml:space="preserve">projekty należące do kategorii interwencji 07 </w:t>
      </w:r>
      <w:r w:rsidR="0096729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Inwestycje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przedsiębiorstwa bezpośrednio związane z dziedziną badań i innowacji, przy znikomym udziale projektów z kategorii interwencji 04 Wspieranie na rzecz rozwoju B+R, w szczególności w MŚP (2 podpisane umowy w subregionie centralny</w:t>
      </w:r>
      <w:r w:rsidR="0096729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m). Stosunkowo mało umów zostało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podpisanych dla projektów z kategorii interwencji 05 Usługi w zakresie zaawansowanego wsparcia dla przedsiębiorstw i grup przedsiębiorstw (25 umów dla wszystkich subregionów). Beneficjenci posiadający swoje siedziby poza woj. śląskim do końca 2012 r. ni</w:t>
      </w:r>
      <w:r w:rsidR="0096729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 podpisali żadnych projektów z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obszaru kategorii interwencji 04 i 05.</w:t>
      </w:r>
    </w:p>
    <w:p w:rsidR="00597585" w:rsidRPr="004564DF" w:rsidRDefault="004564DF" w:rsidP="004564DF">
      <w:pPr>
        <w:spacing w:before="240" w:after="120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743510" cy="3306085"/>
            <wp:effectExtent l="11994" t="5993" r="7121" b="2622"/>
            <wp:docPr id="28" name="Wykres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F23F78" w:rsidRPr="004A0091" w:rsidRDefault="00597585" w:rsidP="004564DF">
      <w:pPr>
        <w:spacing w:before="120" w:after="0"/>
        <w:jc w:val="both"/>
        <w:rPr>
          <w:rFonts w:ascii="Times New Roman" w:hAnsi="Times New Roman"/>
          <w:i/>
          <w:sz w:val="20"/>
          <w:szCs w:val="20"/>
        </w:rPr>
      </w:pPr>
      <w:r w:rsidRPr="004A0091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20324F" w:rsidRPr="004A0091">
        <w:rPr>
          <w:rFonts w:ascii="Times New Roman" w:hAnsi="Times New Roman"/>
          <w:b/>
          <w:sz w:val="20"/>
          <w:szCs w:val="20"/>
        </w:rPr>
        <w:t>Wykres nr 2</w:t>
      </w:r>
      <w:r w:rsidR="00593F9D" w:rsidRPr="004A0091">
        <w:rPr>
          <w:rFonts w:ascii="Times New Roman" w:hAnsi="Times New Roman"/>
          <w:b/>
          <w:sz w:val="20"/>
          <w:szCs w:val="20"/>
        </w:rPr>
        <w:t>2</w:t>
      </w:r>
      <w:r w:rsidRPr="004A0091">
        <w:rPr>
          <w:rFonts w:ascii="Times New Roman" w:hAnsi="Times New Roman"/>
          <w:i/>
          <w:sz w:val="20"/>
          <w:szCs w:val="20"/>
        </w:rPr>
        <w:t xml:space="preserve"> Liczba umów zawartych w poszczególnych subregionach w podziale na kategorie interwencji</w:t>
      </w:r>
    </w:p>
    <w:p w:rsidR="00F23F78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Wielkość środków wypłaconych beneficjentom w poszczególnych regionach w podziale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br/>
        <w:t>na kategorie interwencji obrazuje poniższy wykres:</w:t>
      </w:r>
    </w:p>
    <w:p w:rsidR="00597585" w:rsidRPr="004564DF" w:rsidRDefault="0059758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</w:p>
    <w:p w:rsidR="00597585" w:rsidRPr="004564DF" w:rsidRDefault="0059758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</w:p>
    <w:p w:rsidR="00597585" w:rsidRPr="004564DF" w:rsidRDefault="0059758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</w:p>
    <w:p w:rsidR="00F23F78" w:rsidRPr="004564DF" w:rsidRDefault="00F23F78" w:rsidP="004564DF">
      <w:pPr>
        <w:spacing w:before="240" w:after="120"/>
        <w:jc w:val="both"/>
        <w:rPr>
          <w:rFonts w:ascii="Times New Roman" w:hAnsi="Times New Roman"/>
          <w:noProof/>
          <w:sz w:val="24"/>
          <w:szCs w:val="24"/>
          <w:lang w:eastAsia="pl-PL"/>
        </w:rPr>
      </w:pPr>
    </w:p>
    <w:p w:rsidR="00D2432A" w:rsidRPr="004564DF" w:rsidRDefault="004564DF" w:rsidP="004A0091">
      <w:pPr>
        <w:spacing w:before="240" w:after="120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35626" cy="3897439"/>
            <wp:effectExtent l="11897" t="5951" r="5577" b="1860"/>
            <wp:docPr id="29" name="Wykres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4A0091" w:rsidRDefault="004A0091" w:rsidP="004564DF">
      <w:pPr>
        <w:tabs>
          <w:tab w:val="left" w:pos="2835"/>
          <w:tab w:val="left" w:pos="12191"/>
          <w:tab w:val="left" w:pos="12333"/>
        </w:tabs>
        <w:spacing w:before="120" w:after="0"/>
        <w:jc w:val="both"/>
        <w:rPr>
          <w:rFonts w:ascii="Times New Roman" w:hAnsi="Times New Roman"/>
          <w:b/>
          <w:i/>
          <w:sz w:val="20"/>
          <w:szCs w:val="20"/>
        </w:rPr>
      </w:pPr>
    </w:p>
    <w:p w:rsidR="00597585" w:rsidRPr="004A0091" w:rsidRDefault="0020324F" w:rsidP="004564DF">
      <w:pPr>
        <w:tabs>
          <w:tab w:val="left" w:pos="2835"/>
          <w:tab w:val="left" w:pos="12191"/>
          <w:tab w:val="left" w:pos="12333"/>
        </w:tabs>
        <w:spacing w:before="120" w:after="0"/>
        <w:jc w:val="both"/>
        <w:rPr>
          <w:rFonts w:ascii="Times New Roman" w:hAnsi="Times New Roman"/>
          <w:i/>
          <w:sz w:val="20"/>
          <w:szCs w:val="20"/>
        </w:rPr>
      </w:pPr>
      <w:r w:rsidRPr="004A0091">
        <w:rPr>
          <w:rFonts w:ascii="Times New Roman" w:hAnsi="Times New Roman"/>
          <w:b/>
          <w:sz w:val="20"/>
          <w:szCs w:val="20"/>
        </w:rPr>
        <w:t>Wykres nr 2</w:t>
      </w:r>
      <w:r w:rsidR="00593F9D" w:rsidRPr="004A0091">
        <w:rPr>
          <w:rFonts w:ascii="Times New Roman" w:hAnsi="Times New Roman"/>
          <w:b/>
          <w:sz w:val="20"/>
          <w:szCs w:val="20"/>
        </w:rPr>
        <w:t>3</w:t>
      </w:r>
      <w:r w:rsidR="00597585" w:rsidRPr="004A0091">
        <w:rPr>
          <w:rFonts w:ascii="Times New Roman" w:hAnsi="Times New Roman"/>
          <w:i/>
          <w:sz w:val="20"/>
          <w:szCs w:val="20"/>
        </w:rPr>
        <w:t xml:space="preserve"> Wartość wypłaconych środków w podziale na kategorie interwencji i subregiony</w:t>
      </w:r>
    </w:p>
    <w:p w:rsidR="00597585" w:rsidRPr="004564DF" w:rsidRDefault="00597585" w:rsidP="004564DF">
      <w:pPr>
        <w:jc w:val="both"/>
        <w:rPr>
          <w:rFonts w:ascii="Times New Roman" w:hAnsi="Times New Roman"/>
          <w:sz w:val="24"/>
          <w:szCs w:val="24"/>
        </w:rPr>
      </w:pPr>
    </w:p>
    <w:p w:rsidR="00F23F78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Analizując wykorzystanie indykatywnej alokacji przeznaczonej na poszczególne obszary wsparcia obserwuje się, że jest ona najwyższa dla kategorii interwencji 07 (Inwestycje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br/>
        <w:t>w przedsiębiorstwa bezpośrednio związane z dziedziną badań i innowacji)</w:t>
      </w:r>
      <w:r w:rsidR="00885A9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Dla zawartych umów jest to 125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%, a dla wniosków o płatność 8</w:t>
      </w:r>
      <w:r w:rsidR="00885A9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5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% całkowitej alokacji przeznaczonej na ten obszar wsparcia. Przekroczenie przy podpisywaniu umów alokacji przeznaczonej na projekty z kategorii interwencji 07 związane jest z </w:t>
      </w:r>
      <w:r w:rsidR="00F74D2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faktem, iż przedsiębiorcy częściej wybierali kategorię interwencji 07 ze względu na możliwość uzyskania wyższego poziomu wsparcia (7500 000 PLN</w:t>
      </w:r>
      <w:r w:rsidR="00885A9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(183 mln EUR)</w:t>
      </w:r>
      <w:r w:rsidR="00F74D2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)</w:t>
      </w:r>
      <w:r w:rsidR="00885A9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F74D2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niż w przypadku kategorii 04</w:t>
      </w:r>
      <w:r w:rsidR="00F136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(maksymalnie 240 000 PLN</w:t>
      </w:r>
      <w:r w:rsidR="00885A9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(58 582 mln EUR)</w:t>
      </w:r>
      <w:r w:rsidR="00F136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). </w:t>
      </w:r>
      <w:r w:rsidR="00F74D2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Niska wartość maksymalnej kwoty wsparcia skutkowała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brakiem zainteresowania beneficjentów dofinansowaniem na projekty z kategorii interwencji 04, </w:t>
      </w:r>
      <w:r w:rsidR="00F74D2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a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alokacja z tej kategorii została wykorzystana do dofinansowania projektów z </w:t>
      </w:r>
      <w:r w:rsidR="00F74D2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kategorii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07. W</w:t>
      </w:r>
      <w:r w:rsidR="00F136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stosunku do dostępnej alokacji na projekty należące d</w:t>
      </w:r>
      <w:r w:rsidR="00F136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o kategorii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08 alokacja dla zawartych umów wynos</w:t>
      </w:r>
      <w:r w:rsidR="00F74D2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 7</w:t>
      </w:r>
      <w:r w:rsidR="00885A9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5</w:t>
      </w:r>
      <w:r w:rsidR="00F74D2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%. Najwolniej realizowane i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rozliczane są projekty należące do obszaru wsparcia 05 (podpisane umowy – 1,</w:t>
      </w:r>
      <w:r w:rsidR="00885A9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79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%, wnioski o płatność – 1,</w:t>
      </w:r>
      <w:r w:rsidR="00885A9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73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% całkowitej alokacji przeznaczonej na ten obszar wsparcia), co wynika z bardzo małego zainteresowania przedsię</w:t>
      </w:r>
      <w:r w:rsidR="00F74D2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biorców wsparciem na projekty o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charakterze doradczym.</w:t>
      </w:r>
    </w:p>
    <w:p w:rsidR="00F74D2F" w:rsidRPr="004564DF" w:rsidRDefault="00F74D2F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F74D2F" w:rsidRPr="004564DF" w:rsidRDefault="00F74D2F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F74D2F" w:rsidRPr="004564DF" w:rsidRDefault="00F74D2F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F74D2F" w:rsidRPr="004564DF" w:rsidRDefault="00F74D2F" w:rsidP="004564DF">
      <w:pPr>
        <w:tabs>
          <w:tab w:val="left" w:pos="2835"/>
          <w:tab w:val="left" w:pos="12191"/>
          <w:tab w:val="left" w:pos="12333"/>
        </w:tabs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68643D" w:rsidRPr="004564DF" w:rsidRDefault="004564DF" w:rsidP="004A0091">
      <w:pPr>
        <w:tabs>
          <w:tab w:val="left" w:pos="2835"/>
          <w:tab w:val="left" w:pos="12191"/>
          <w:tab w:val="left" w:pos="12333"/>
        </w:tabs>
        <w:spacing w:before="240" w:after="120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4771644" cy="3422904"/>
            <wp:effectExtent l="12192" t="6096" r="7239" b="0"/>
            <wp:docPr id="30" name="Wykres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885A95" w:rsidRPr="004A0091" w:rsidRDefault="0068643D" w:rsidP="004564DF">
      <w:pPr>
        <w:tabs>
          <w:tab w:val="left" w:pos="2835"/>
          <w:tab w:val="left" w:pos="12191"/>
          <w:tab w:val="left" w:pos="12333"/>
        </w:tabs>
        <w:spacing w:before="240" w:after="120"/>
        <w:jc w:val="both"/>
        <w:rPr>
          <w:rFonts w:ascii="Times New Roman" w:hAnsi="Times New Roman"/>
          <w:i/>
          <w:sz w:val="20"/>
          <w:szCs w:val="20"/>
        </w:rPr>
      </w:pPr>
      <w:r w:rsidRPr="004564DF">
        <w:rPr>
          <w:rFonts w:ascii="Times New Roman" w:hAnsi="Times New Roman"/>
          <w:sz w:val="24"/>
          <w:szCs w:val="24"/>
        </w:rPr>
        <w:t xml:space="preserve"> </w:t>
      </w:r>
      <w:r w:rsidRPr="004A0091">
        <w:rPr>
          <w:rFonts w:ascii="Times New Roman" w:hAnsi="Times New Roman"/>
          <w:b/>
          <w:sz w:val="20"/>
          <w:szCs w:val="20"/>
        </w:rPr>
        <w:t>Wykres nr 2</w:t>
      </w:r>
      <w:r w:rsidR="001A7329" w:rsidRPr="004A0091">
        <w:rPr>
          <w:rFonts w:ascii="Times New Roman" w:hAnsi="Times New Roman"/>
          <w:b/>
          <w:sz w:val="20"/>
          <w:szCs w:val="20"/>
        </w:rPr>
        <w:t>4</w:t>
      </w:r>
      <w:r w:rsidRPr="004A0091">
        <w:rPr>
          <w:rFonts w:ascii="Times New Roman" w:hAnsi="Times New Roman"/>
          <w:i/>
          <w:sz w:val="20"/>
          <w:szCs w:val="20"/>
        </w:rPr>
        <w:t xml:space="preserve"> Poziom wykorzystania alokacji na poszczególne kategorie interwencji – ujęcie %</w:t>
      </w:r>
    </w:p>
    <w:p w:rsidR="00F23F78" w:rsidRPr="004564DF" w:rsidRDefault="00F23F78" w:rsidP="004564DF">
      <w:pPr>
        <w:pStyle w:val="Nagwek2"/>
        <w:numPr>
          <w:ilvl w:val="1"/>
          <w:numId w:val="5"/>
        </w:numPr>
        <w:jc w:val="both"/>
        <w:rPr>
          <w:rFonts w:ascii="Times New Roman" w:hAnsi="Times New Roman"/>
          <w:i w:val="0"/>
          <w:sz w:val="24"/>
          <w:szCs w:val="24"/>
        </w:rPr>
      </w:pPr>
      <w:bookmarkStart w:id="8" w:name="_Toc356809923"/>
      <w:r w:rsidRPr="004564DF">
        <w:rPr>
          <w:rFonts w:ascii="Times New Roman" w:hAnsi="Times New Roman"/>
          <w:i w:val="0"/>
          <w:sz w:val="24"/>
          <w:szCs w:val="24"/>
        </w:rPr>
        <w:t>Wielkość przedsiębiorstw</w:t>
      </w:r>
      <w:bookmarkEnd w:id="8"/>
    </w:p>
    <w:p w:rsidR="001A7329" w:rsidRPr="004564DF" w:rsidRDefault="004564DF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  <w:lang w:eastAsia="pl-PL"/>
        </w:rPr>
        <w:drawing>
          <wp:anchor distT="0" distB="1905" distL="114300" distR="114300" simplePos="0" relativeHeight="251659264" behindDoc="0" locked="0" layoutInCell="1" allowOverlap="1">
            <wp:simplePos x="0" y="0"/>
            <wp:positionH relativeFrom="column">
              <wp:posOffset>280862</wp:posOffset>
            </wp:positionH>
            <wp:positionV relativeFrom="paragraph">
              <wp:posOffset>1769269</wp:posOffset>
            </wp:positionV>
            <wp:extent cx="4930489" cy="2625735"/>
            <wp:effectExtent l="11622" t="4604" r="3269" b="0"/>
            <wp:wrapTopAndBottom/>
            <wp:docPr id="64" name="Wykres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anchor>
        </w:drawing>
      </w:r>
      <w:r w:rsidR="0068643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 RPO WSL działania skierowane do przedsiębiorstw 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Działania i Poddziałania są dedykowane wyłącznie dla sektora mikro, małych i średnich przedsiębiorstw. </w:t>
      </w:r>
      <w:r w:rsidR="0068643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ajwiększa liczba projektów realizowanych jest przez mikro przedsiębiorstwa (41% wszystkich podpisanych umów). Z kolei projekty małych przedsiębiorstw stanowią 38% wszystkich zawartych umów. Z Beneficjentami posiadającymi status średniego przedsiębiorstwa podpisano najmniej umów, niemniej należy zwrócić uwagę</w:t>
      </w:r>
      <w:r w:rsidR="00F136C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 że procentowy udział średnich</w:t>
      </w:r>
      <w:r w:rsidR="00F23F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przedsiębiorstw w woj. śląskim jest najmniejszy.</w:t>
      </w:r>
    </w:p>
    <w:p w:rsidR="00885A95" w:rsidRPr="004A0091" w:rsidRDefault="00885A95" w:rsidP="004564DF">
      <w:pPr>
        <w:spacing w:before="100" w:beforeAutospacing="1" w:after="120"/>
        <w:jc w:val="both"/>
        <w:rPr>
          <w:rFonts w:ascii="Times New Roman" w:hAnsi="Times New Roman"/>
          <w:sz w:val="20"/>
          <w:szCs w:val="20"/>
        </w:rPr>
      </w:pPr>
      <w:r w:rsidRPr="004A0091">
        <w:rPr>
          <w:rFonts w:ascii="Times New Roman" w:hAnsi="Times New Roman"/>
          <w:b/>
          <w:sz w:val="20"/>
          <w:szCs w:val="20"/>
        </w:rPr>
        <w:lastRenderedPageBreak/>
        <w:t>Wykres nr 25</w:t>
      </w:r>
      <w:r w:rsidRPr="004A0091">
        <w:rPr>
          <w:rFonts w:ascii="Times New Roman" w:hAnsi="Times New Roman"/>
          <w:sz w:val="20"/>
          <w:szCs w:val="20"/>
        </w:rPr>
        <w:t xml:space="preserve"> </w:t>
      </w:r>
      <w:r w:rsidRPr="004A0091">
        <w:rPr>
          <w:rFonts w:ascii="Times New Roman" w:hAnsi="Times New Roman"/>
          <w:i/>
          <w:sz w:val="20"/>
          <w:szCs w:val="20"/>
        </w:rPr>
        <w:t>Liczba podpisanych umów w podziale na wielkość przedsiębiorstwa – ujęcie %</w:t>
      </w:r>
    </w:p>
    <w:p w:rsidR="00885A95" w:rsidRPr="004564DF" w:rsidRDefault="00885A9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</w:p>
    <w:p w:rsidR="001A7329" w:rsidRPr="004564DF" w:rsidRDefault="001A7329" w:rsidP="004A0091">
      <w:pPr>
        <w:pStyle w:val="Default"/>
        <w:spacing w:before="240" w:after="120" w:line="276" w:lineRule="auto"/>
        <w:jc w:val="center"/>
      </w:pPr>
      <w:r w:rsidRPr="004564DF">
        <w:object w:dxaOrig="8145" w:dyaOrig="49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.75pt;height:220.5pt" o:ole="">
            <v:imagedata r:id="rId43" o:title=""/>
          </v:shape>
          <o:OLEObject Type="Embed" ProgID="Excel.Sheet.12" ShapeID="_x0000_i1025" DrawAspect="Content" ObjectID="_1430551977" r:id="rId44"/>
        </w:object>
      </w:r>
    </w:p>
    <w:p w:rsidR="0068643D" w:rsidRPr="004A0091" w:rsidRDefault="0068643D" w:rsidP="004564DF">
      <w:pPr>
        <w:pStyle w:val="Default"/>
        <w:spacing w:before="240" w:after="120" w:line="276" w:lineRule="auto"/>
        <w:jc w:val="both"/>
        <w:rPr>
          <w:i/>
          <w:sz w:val="20"/>
          <w:szCs w:val="20"/>
        </w:rPr>
      </w:pPr>
      <w:r w:rsidRPr="004A0091">
        <w:rPr>
          <w:b/>
          <w:color w:val="auto"/>
          <w:sz w:val="20"/>
          <w:szCs w:val="20"/>
        </w:rPr>
        <w:t>Wykres nr 2</w:t>
      </w:r>
      <w:r w:rsidR="001A7329" w:rsidRPr="004A0091">
        <w:rPr>
          <w:b/>
          <w:color w:val="auto"/>
          <w:sz w:val="20"/>
          <w:szCs w:val="20"/>
        </w:rPr>
        <w:t>6</w:t>
      </w:r>
      <w:r w:rsidRPr="004A0091">
        <w:rPr>
          <w:color w:val="auto"/>
          <w:sz w:val="20"/>
          <w:szCs w:val="20"/>
        </w:rPr>
        <w:t xml:space="preserve"> </w:t>
      </w:r>
      <w:r w:rsidRPr="004A0091">
        <w:rPr>
          <w:i/>
          <w:color w:val="auto"/>
          <w:sz w:val="20"/>
          <w:szCs w:val="20"/>
        </w:rPr>
        <w:t>Liczba podpisanych umów w podziale na wielkość przedsiębiorstwa – ujęcie %</w:t>
      </w:r>
    </w:p>
    <w:p w:rsidR="00F23F78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Na poniższych wykresach przedstawiono liczby oraz wartości podpisanych umów oraz zakończonych projektów w odniesieniu do wielkości przedsiębiorstw. Największe dofinansowanie zostało przeznaczone na projekty realizowane przez małe przedsiębiorstwa (</w:t>
      </w:r>
      <w:r w:rsidR="00F62B0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84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F62B0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– podpisane umowy, </w:t>
      </w:r>
      <w:r w:rsidR="00F62B0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53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F62B0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– wypłacone środki). Przy stosunkowo dużej liczbie podpisanych umów przez mikro przedsiębiorstwa (1057), wartość dofinansowania na projekty realizowane przez tego typu beneficjentów wyniosła ty</w:t>
      </w:r>
      <w:r w:rsidR="001A732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lko </w:t>
      </w:r>
      <w:r w:rsidR="00F62B0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38</w:t>
      </w:r>
      <w:r w:rsidR="001A732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 mln </w:t>
      </w:r>
      <w:r w:rsidR="00F62B0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1A732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 Na tą sytuację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zasadniczy wpływ miała maksymaln</w:t>
      </w:r>
      <w:r w:rsidR="001A732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wartość dofinansowani</w:t>
      </w:r>
      <w:r w:rsidR="001A732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a,,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jaką mogli uzyskać mikroprzedsiębiorcy na projekty</w:t>
      </w:r>
      <w:r w:rsidR="00411C5B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inwestycyjne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Z beneficjentami posiadającymi status średniego przedsiębiorstwa do końca 2012 r. podpisano 547 umów na kwotę dofinansowania</w:t>
      </w:r>
      <w:r w:rsidR="00F62B0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41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F62B0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F23F78" w:rsidRPr="004564DF" w:rsidRDefault="004564DF" w:rsidP="004A0091">
      <w:pPr>
        <w:spacing w:before="240" w:after="120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229531" cy="3080902"/>
            <wp:effectExtent l="11996" t="5198" r="6748" b="0"/>
            <wp:docPr id="32" name="Wykres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411C5B" w:rsidRPr="004A0091" w:rsidRDefault="00411C5B" w:rsidP="004564DF">
      <w:pPr>
        <w:jc w:val="both"/>
        <w:rPr>
          <w:rFonts w:ascii="Times New Roman" w:hAnsi="Times New Roman"/>
          <w:i/>
          <w:sz w:val="20"/>
          <w:szCs w:val="20"/>
        </w:rPr>
      </w:pPr>
      <w:r w:rsidRPr="004A0091">
        <w:rPr>
          <w:rFonts w:ascii="Times New Roman" w:hAnsi="Times New Roman"/>
          <w:b/>
          <w:sz w:val="20"/>
          <w:szCs w:val="20"/>
        </w:rPr>
        <w:t>Wykres nr 2</w:t>
      </w:r>
      <w:r w:rsidR="001A7329" w:rsidRPr="004A0091">
        <w:rPr>
          <w:rFonts w:ascii="Times New Roman" w:hAnsi="Times New Roman"/>
          <w:b/>
          <w:sz w:val="20"/>
          <w:szCs w:val="20"/>
        </w:rPr>
        <w:t>7</w:t>
      </w:r>
      <w:r w:rsidRPr="004A0091">
        <w:rPr>
          <w:rFonts w:ascii="Times New Roman" w:hAnsi="Times New Roman"/>
          <w:i/>
          <w:sz w:val="20"/>
          <w:szCs w:val="20"/>
        </w:rPr>
        <w:t xml:space="preserve"> Liczba i wartość podpisanych umów w podziale na wielkość przedsiębiorstwa</w:t>
      </w:r>
    </w:p>
    <w:p w:rsidR="00177CE1" w:rsidRPr="004564DF" w:rsidRDefault="004564DF" w:rsidP="004A0091">
      <w:pPr>
        <w:tabs>
          <w:tab w:val="left" w:pos="2835"/>
          <w:tab w:val="left" w:pos="12191"/>
          <w:tab w:val="left" w:pos="12333"/>
        </w:tabs>
        <w:spacing w:before="240" w:after="12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295391" cy="3972687"/>
            <wp:effectExtent l="13606" t="6096" r="5953" b="2667"/>
            <wp:docPr id="33" name="Wykres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411C5B" w:rsidRPr="004A0091" w:rsidRDefault="00411C5B" w:rsidP="004564DF">
      <w:pPr>
        <w:tabs>
          <w:tab w:val="left" w:pos="0"/>
          <w:tab w:val="left" w:pos="2835"/>
          <w:tab w:val="left" w:pos="12191"/>
          <w:tab w:val="left" w:pos="12333"/>
        </w:tabs>
        <w:spacing w:before="120" w:after="0"/>
        <w:jc w:val="both"/>
        <w:rPr>
          <w:rFonts w:ascii="Times New Roman" w:hAnsi="Times New Roman"/>
          <w:i/>
          <w:sz w:val="20"/>
          <w:szCs w:val="20"/>
        </w:rPr>
      </w:pPr>
      <w:r w:rsidRPr="004A0091">
        <w:rPr>
          <w:rFonts w:ascii="Times New Roman" w:hAnsi="Times New Roman"/>
          <w:b/>
          <w:sz w:val="20"/>
          <w:szCs w:val="20"/>
        </w:rPr>
        <w:t xml:space="preserve">Wykres nr </w:t>
      </w:r>
      <w:r w:rsidR="00177CE1" w:rsidRPr="004A0091">
        <w:rPr>
          <w:rFonts w:ascii="Times New Roman" w:hAnsi="Times New Roman"/>
          <w:b/>
          <w:sz w:val="20"/>
          <w:szCs w:val="20"/>
        </w:rPr>
        <w:t>2</w:t>
      </w:r>
      <w:r w:rsidR="009A3AB6" w:rsidRPr="004A0091">
        <w:rPr>
          <w:rFonts w:ascii="Times New Roman" w:hAnsi="Times New Roman"/>
          <w:b/>
          <w:sz w:val="20"/>
          <w:szCs w:val="20"/>
        </w:rPr>
        <w:t>8</w:t>
      </w:r>
      <w:r w:rsidRPr="004A0091">
        <w:rPr>
          <w:rFonts w:ascii="Times New Roman" w:hAnsi="Times New Roman"/>
          <w:i/>
          <w:sz w:val="20"/>
          <w:szCs w:val="20"/>
        </w:rPr>
        <w:t xml:space="preserve"> Liczba </w:t>
      </w:r>
      <w:r w:rsidR="00177CE1" w:rsidRPr="004A0091">
        <w:rPr>
          <w:rFonts w:ascii="Times New Roman" w:hAnsi="Times New Roman"/>
          <w:i/>
          <w:sz w:val="20"/>
          <w:szCs w:val="20"/>
        </w:rPr>
        <w:t>i wartość zakończonych projektów w podziale na wielkość przedsiębiorstwa</w:t>
      </w:r>
    </w:p>
    <w:p w:rsidR="0008295B" w:rsidRPr="004564DF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Wartości średnie podpisanych umów i zakończonych projektów oraz średnie wartości dofinansowania dla umów i zakończonych projektów z uwzględn</w:t>
      </w:r>
      <w:r w:rsidR="0008295B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ieniem statusu przedsiębiorstw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</w:t>
      </w:r>
      <w:r w:rsidR="0008295B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rzedstawiają poniższe wykresy. </w:t>
      </w:r>
    </w:p>
    <w:p w:rsidR="00B30998" w:rsidRPr="004564DF" w:rsidRDefault="004564DF" w:rsidP="004A0091">
      <w:pPr>
        <w:tabs>
          <w:tab w:val="left" w:pos="2835"/>
          <w:tab w:val="left" w:pos="12191"/>
          <w:tab w:val="left" w:pos="12333"/>
        </w:tabs>
        <w:spacing w:before="240" w:after="12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480304" cy="3776435"/>
            <wp:effectExtent l="12192" t="4990" r="3429" b="0"/>
            <wp:docPr id="34" name="Wykres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B30998" w:rsidRPr="004A0091" w:rsidRDefault="00B30998" w:rsidP="004564DF">
      <w:pPr>
        <w:tabs>
          <w:tab w:val="left" w:pos="2835"/>
          <w:tab w:val="left" w:pos="12191"/>
          <w:tab w:val="left" w:pos="12333"/>
        </w:tabs>
        <w:spacing w:before="120" w:after="0"/>
        <w:jc w:val="both"/>
        <w:rPr>
          <w:rFonts w:ascii="Times New Roman" w:hAnsi="Times New Roman"/>
          <w:i/>
          <w:sz w:val="20"/>
          <w:szCs w:val="20"/>
        </w:rPr>
      </w:pPr>
      <w:r w:rsidRPr="004A0091">
        <w:rPr>
          <w:rFonts w:ascii="Times New Roman" w:hAnsi="Times New Roman"/>
          <w:b/>
          <w:sz w:val="20"/>
          <w:szCs w:val="20"/>
        </w:rPr>
        <w:t>Wykres nr 2</w:t>
      </w:r>
      <w:r w:rsidR="009A3AB6" w:rsidRPr="004A0091">
        <w:rPr>
          <w:rFonts w:ascii="Times New Roman" w:hAnsi="Times New Roman"/>
          <w:b/>
          <w:sz w:val="20"/>
          <w:szCs w:val="20"/>
        </w:rPr>
        <w:t>9</w:t>
      </w:r>
      <w:r w:rsidRPr="004A0091">
        <w:rPr>
          <w:rFonts w:ascii="Times New Roman" w:hAnsi="Times New Roman"/>
          <w:i/>
          <w:sz w:val="20"/>
          <w:szCs w:val="20"/>
        </w:rPr>
        <w:t xml:space="preserve"> Średnie wartości umów i wniosków o płatność w podziale na wielkość przedsiębiorstwa</w:t>
      </w:r>
    </w:p>
    <w:p w:rsidR="00B30998" w:rsidRPr="004564DF" w:rsidRDefault="004564DF" w:rsidP="004A0091">
      <w:pPr>
        <w:tabs>
          <w:tab w:val="left" w:pos="2835"/>
          <w:tab w:val="left" w:pos="12191"/>
          <w:tab w:val="left" w:pos="12333"/>
        </w:tabs>
        <w:spacing w:before="240" w:after="12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622290" cy="4176395"/>
            <wp:effectExtent l="0" t="0" r="0" b="0"/>
            <wp:docPr id="35" name="Wykres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4A0091" w:rsidRDefault="004A0091" w:rsidP="004564DF">
      <w:pPr>
        <w:tabs>
          <w:tab w:val="left" w:pos="2835"/>
          <w:tab w:val="left" w:pos="12191"/>
          <w:tab w:val="left" w:pos="12333"/>
        </w:tabs>
        <w:spacing w:before="120" w:after="0"/>
        <w:jc w:val="both"/>
        <w:rPr>
          <w:rFonts w:ascii="Times New Roman" w:hAnsi="Times New Roman"/>
          <w:sz w:val="20"/>
          <w:szCs w:val="20"/>
        </w:rPr>
      </w:pPr>
    </w:p>
    <w:p w:rsidR="00F23F78" w:rsidRPr="004A0091" w:rsidRDefault="00B30998" w:rsidP="004564DF">
      <w:pPr>
        <w:tabs>
          <w:tab w:val="left" w:pos="2835"/>
          <w:tab w:val="left" w:pos="12191"/>
          <w:tab w:val="left" w:pos="12333"/>
        </w:tabs>
        <w:spacing w:before="120" w:after="0"/>
        <w:jc w:val="both"/>
        <w:rPr>
          <w:rFonts w:ascii="Times New Roman" w:hAnsi="Times New Roman"/>
          <w:i/>
          <w:sz w:val="20"/>
          <w:szCs w:val="20"/>
        </w:rPr>
      </w:pPr>
      <w:r w:rsidRPr="004A0091">
        <w:rPr>
          <w:rFonts w:ascii="Times New Roman" w:hAnsi="Times New Roman"/>
          <w:b/>
          <w:sz w:val="20"/>
          <w:szCs w:val="20"/>
        </w:rPr>
        <w:lastRenderedPageBreak/>
        <w:t xml:space="preserve">Wykres nr </w:t>
      </w:r>
      <w:r w:rsidR="009A3AB6" w:rsidRPr="004A0091">
        <w:rPr>
          <w:rFonts w:ascii="Times New Roman" w:hAnsi="Times New Roman"/>
          <w:b/>
          <w:sz w:val="20"/>
          <w:szCs w:val="20"/>
        </w:rPr>
        <w:t>30</w:t>
      </w:r>
      <w:r w:rsidRPr="004A0091">
        <w:rPr>
          <w:rFonts w:ascii="Times New Roman" w:hAnsi="Times New Roman"/>
          <w:i/>
          <w:sz w:val="20"/>
          <w:szCs w:val="20"/>
        </w:rPr>
        <w:t xml:space="preserve"> Średnia wartość dofinansowania  umów i wniosków o płatność w podziale na wielkość przedsiębiorstwa</w:t>
      </w:r>
    </w:p>
    <w:p w:rsidR="00927D7D" w:rsidRPr="004A0091" w:rsidRDefault="00F23F78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Analizując liczbę oraz wartość dofinansowania podpisanych umów w odniesieniu do kategorii interwencji i statusu przedsiębiorstw, można zauważyć iż najwięcej projektów jest realizowanych z kategorii interwencji 08 (946 umów zawartych przez mikro przedsiębiorstwa). Na drugim miejscu znajdują się projekty należące do kategorii interwencji 07, w przypadku których najwięcej umów zostało podpisane przez małe przedsiębiorstwa (116 umów). Dla kategorii interwencji 05 najwięcej projektów zostało zrealizowanych przez beneficjentów posiadających status małego przedsiębiorstwa. Z kategorii interwencji 04 zostały podpisane 2 umowy, po jednej przez mikroprzedsiębiorcę i małego</w:t>
      </w:r>
      <w:r w:rsidR="00DD5637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przedsiębiorcę.</w:t>
      </w:r>
    </w:p>
    <w:p w:rsidR="009A3AB6" w:rsidRPr="004A0091" w:rsidRDefault="004A0091" w:rsidP="004A0091">
      <w:pPr>
        <w:tabs>
          <w:tab w:val="left" w:pos="2835"/>
          <w:tab w:val="left" w:pos="12191"/>
          <w:tab w:val="left" w:pos="12333"/>
        </w:tabs>
        <w:spacing w:before="120" w:after="0"/>
        <w:ind w:left="284"/>
        <w:jc w:val="both"/>
        <w:rPr>
          <w:rFonts w:ascii="Times New Roman" w:hAnsi="Times New Roman"/>
          <w:i/>
          <w:sz w:val="20"/>
          <w:szCs w:val="20"/>
        </w:rPr>
      </w:pPr>
      <w:r w:rsidRPr="004A0091">
        <w:rPr>
          <w:rFonts w:ascii="Times New Roman" w:hAnsi="Times New Roman"/>
          <w:b/>
          <w:i/>
          <w:sz w:val="20"/>
          <w:szCs w:val="20"/>
        </w:rPr>
        <w:t>Tabela nr 1</w:t>
      </w:r>
      <w:r w:rsidRPr="004A0091">
        <w:rPr>
          <w:rFonts w:ascii="Times New Roman" w:hAnsi="Times New Roman"/>
          <w:i/>
          <w:sz w:val="20"/>
          <w:szCs w:val="20"/>
        </w:rPr>
        <w:t xml:space="preserve"> Liczba i wartość umów w podziale na kategorie interwencji oraz wielkość przedsiębiorstwa</w:t>
      </w:r>
    </w:p>
    <w:p w:rsidR="00927D7D" w:rsidRPr="004564DF" w:rsidRDefault="004564DF" w:rsidP="004A0091">
      <w:pPr>
        <w:tabs>
          <w:tab w:val="left" w:pos="2835"/>
          <w:tab w:val="left" w:pos="12191"/>
          <w:tab w:val="left" w:pos="12333"/>
        </w:tabs>
        <w:spacing w:after="0"/>
        <w:ind w:left="-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6210300" cy="3657600"/>
            <wp:effectExtent l="1905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674" w:rsidRPr="004564DF" w:rsidRDefault="009F3674" w:rsidP="004564DF">
      <w:pPr>
        <w:tabs>
          <w:tab w:val="left" w:pos="2835"/>
          <w:tab w:val="left" w:pos="12191"/>
          <w:tab w:val="left" w:pos="12333"/>
        </w:tabs>
        <w:spacing w:before="120" w:after="0"/>
        <w:ind w:left="284"/>
        <w:jc w:val="both"/>
        <w:rPr>
          <w:rFonts w:ascii="Times New Roman" w:hAnsi="Times New Roman"/>
          <w:sz w:val="24"/>
          <w:szCs w:val="24"/>
        </w:rPr>
      </w:pPr>
    </w:p>
    <w:p w:rsidR="00F23F78" w:rsidRPr="004564DF" w:rsidRDefault="00F23F78" w:rsidP="004564DF">
      <w:pPr>
        <w:jc w:val="both"/>
        <w:rPr>
          <w:rFonts w:ascii="Times New Roman" w:hAnsi="Times New Roman"/>
          <w:sz w:val="24"/>
          <w:szCs w:val="24"/>
        </w:rPr>
      </w:pPr>
    </w:p>
    <w:p w:rsidR="00A46275" w:rsidRPr="004564DF" w:rsidRDefault="00A46275" w:rsidP="004564DF">
      <w:pPr>
        <w:jc w:val="both"/>
        <w:rPr>
          <w:rFonts w:ascii="Times New Roman" w:hAnsi="Times New Roman"/>
          <w:sz w:val="24"/>
          <w:szCs w:val="24"/>
        </w:rPr>
      </w:pPr>
    </w:p>
    <w:p w:rsidR="00A46275" w:rsidRPr="004564DF" w:rsidRDefault="00A46275" w:rsidP="004564DF">
      <w:pPr>
        <w:jc w:val="both"/>
        <w:rPr>
          <w:rFonts w:ascii="Times New Roman" w:hAnsi="Times New Roman"/>
          <w:sz w:val="24"/>
          <w:szCs w:val="24"/>
        </w:rPr>
      </w:pPr>
    </w:p>
    <w:p w:rsidR="00A46275" w:rsidRPr="004564DF" w:rsidRDefault="00A46275" w:rsidP="004564DF">
      <w:pPr>
        <w:jc w:val="both"/>
        <w:rPr>
          <w:rFonts w:ascii="Times New Roman" w:hAnsi="Times New Roman"/>
          <w:sz w:val="24"/>
          <w:szCs w:val="24"/>
        </w:rPr>
      </w:pPr>
    </w:p>
    <w:p w:rsidR="00A46275" w:rsidRPr="004564DF" w:rsidRDefault="00A46275" w:rsidP="004564DF">
      <w:pPr>
        <w:jc w:val="both"/>
        <w:rPr>
          <w:rFonts w:ascii="Times New Roman" w:hAnsi="Times New Roman"/>
          <w:sz w:val="24"/>
          <w:szCs w:val="24"/>
        </w:rPr>
      </w:pPr>
    </w:p>
    <w:p w:rsidR="009A3AB6" w:rsidRPr="004564DF" w:rsidRDefault="009A3AB6" w:rsidP="004564DF">
      <w:pPr>
        <w:jc w:val="both"/>
        <w:rPr>
          <w:rFonts w:ascii="Times New Roman" w:hAnsi="Times New Roman"/>
          <w:sz w:val="24"/>
          <w:szCs w:val="24"/>
        </w:rPr>
      </w:pPr>
    </w:p>
    <w:p w:rsidR="009A3AB6" w:rsidRPr="004564DF" w:rsidRDefault="009A3AB6" w:rsidP="004564DF">
      <w:pPr>
        <w:jc w:val="both"/>
        <w:rPr>
          <w:rFonts w:ascii="Times New Roman" w:hAnsi="Times New Roman"/>
          <w:sz w:val="24"/>
          <w:szCs w:val="24"/>
        </w:rPr>
      </w:pPr>
    </w:p>
    <w:p w:rsidR="009F3674" w:rsidRPr="004564DF" w:rsidRDefault="009F3674" w:rsidP="004564DF">
      <w:pPr>
        <w:jc w:val="both"/>
        <w:rPr>
          <w:rFonts w:ascii="Times New Roman" w:hAnsi="Times New Roman"/>
          <w:sz w:val="24"/>
          <w:szCs w:val="24"/>
        </w:rPr>
      </w:pPr>
    </w:p>
    <w:p w:rsidR="00A46275" w:rsidRPr="004564DF" w:rsidRDefault="00A46275" w:rsidP="004564DF">
      <w:pPr>
        <w:pStyle w:val="Nagwek1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bookmarkStart w:id="9" w:name="_Toc356809924"/>
      <w:r w:rsidRPr="004564DF">
        <w:rPr>
          <w:rFonts w:ascii="Times New Roman" w:hAnsi="Times New Roman"/>
          <w:sz w:val="24"/>
          <w:szCs w:val="24"/>
        </w:rPr>
        <w:lastRenderedPageBreak/>
        <w:t xml:space="preserve">Analiza wdrażania działań </w:t>
      </w:r>
      <w:r w:rsidR="00886E10" w:rsidRPr="004564DF">
        <w:rPr>
          <w:rFonts w:ascii="Times New Roman" w:hAnsi="Times New Roman"/>
          <w:sz w:val="24"/>
          <w:szCs w:val="24"/>
        </w:rPr>
        <w:t xml:space="preserve">skierowanych do przedsiębiorców w podziale </w:t>
      </w:r>
      <w:r w:rsidRPr="004564DF">
        <w:rPr>
          <w:rFonts w:ascii="Times New Roman" w:hAnsi="Times New Roman"/>
          <w:sz w:val="24"/>
          <w:szCs w:val="24"/>
        </w:rPr>
        <w:t xml:space="preserve"> na sekcje PKD</w:t>
      </w:r>
      <w:bookmarkEnd w:id="9"/>
    </w:p>
    <w:p w:rsidR="00A46275" w:rsidRPr="004564DF" w:rsidRDefault="00886E10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Na potrzeby niniejszego opracowania ustalono jaki jest udział poszczególnych branż (sekcji PKD) w pozyskiwaniu </w:t>
      </w:r>
      <w:r w:rsidR="00441C5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 wykorzystaniu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środków finansowych RPO WSL. </w:t>
      </w:r>
      <w:r w:rsidR="003420B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eryfikacji poddane zostały projekty dla których zostały pod</w:t>
      </w:r>
      <w:r w:rsidR="00441C5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pisane umowy o </w:t>
      </w:r>
      <w:r w:rsidR="003420B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dofinansowanie w 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ramach RPO WSL.</w:t>
      </w:r>
      <w:r w:rsidR="003420B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Podział </w:t>
      </w:r>
      <w:r w:rsidR="003420B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wszystkich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3420B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projektów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z uwzględnieniem </w:t>
      </w:r>
      <w:r w:rsidR="003420B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ekcji PKD został przedstawiony w ujęciu tabelarycznym. Ponadto</w:t>
      </w:r>
      <w:r w:rsidR="003420B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sporządzona została analiza udziału projektów sklasyfikowanych</w:t>
      </w:r>
      <w:r w:rsidR="00441C5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w poszczególnych sekcjach PKD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441C5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 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subregionach województwa śląskiego oraz </w:t>
      </w:r>
      <w:r w:rsidR="00441C5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dokonano szczegółowej analizy z 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wykorzystaniem klasyfikacji </w:t>
      </w:r>
      <w:r w:rsidR="00441C5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uwzględniającej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Działy PKD. W </w:t>
      </w:r>
      <w:r w:rsidR="004A0091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kolejnej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części opracowania przedstawiono charakterystykę projektów w ujęciu branżowym ze szczególnym uwzględnieniem wielkości przedsiębiorstw, typu projektów</w:t>
      </w:r>
      <w:r w:rsidR="00353AB4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oraz </w:t>
      </w:r>
      <w:r w:rsidR="004A0091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innowacyjności</w:t>
      </w:r>
      <w:r w:rsidR="00353AB4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projektów.</w:t>
      </w:r>
    </w:p>
    <w:p w:rsidR="00A46275" w:rsidRPr="004564DF" w:rsidRDefault="00A46275" w:rsidP="004A009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Sekcje PKD sklasyfikowane w analizie: </w:t>
      </w:r>
    </w:p>
    <w:p w:rsidR="00A46275" w:rsidRPr="004564DF" w:rsidRDefault="00A46275" w:rsidP="004A009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1. Sekcja C Przetwórstwo przemysłowe </w:t>
      </w:r>
    </w:p>
    <w:p w:rsidR="00A46275" w:rsidRPr="004564DF" w:rsidRDefault="00A46275" w:rsidP="004A009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2. Sekcja F Budownictwo </w:t>
      </w:r>
    </w:p>
    <w:p w:rsidR="00A46275" w:rsidRPr="004564DF" w:rsidRDefault="00A46275" w:rsidP="004A009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3. Sekcja G Handel Hurtowy i detaliczny; naprawa pojazdów samochodowych, włączając motocykle </w:t>
      </w:r>
    </w:p>
    <w:p w:rsidR="00A46275" w:rsidRPr="004564DF" w:rsidRDefault="00A46275" w:rsidP="004A009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4. Sekcja I Działalność związana z zakwaterowaniem i usługami gastronomicznymi </w:t>
      </w:r>
    </w:p>
    <w:p w:rsidR="00A46275" w:rsidRPr="004564DF" w:rsidRDefault="00A46275" w:rsidP="004A009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5. Sekcja J Informacja i komunikacja </w:t>
      </w:r>
    </w:p>
    <w:p w:rsidR="00A46275" w:rsidRPr="004564DF" w:rsidRDefault="00A46275" w:rsidP="004A009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6. Sekcja M Działalność profesjonalna, naukowa i techniczna </w:t>
      </w:r>
    </w:p>
    <w:p w:rsidR="00A46275" w:rsidRPr="004564DF" w:rsidRDefault="00A46275" w:rsidP="004A009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7. Sekcja Q Opieka zdrowotna i pomoc społeczna</w:t>
      </w:r>
    </w:p>
    <w:p w:rsidR="00A46275" w:rsidRPr="004564DF" w:rsidRDefault="00A46275" w:rsidP="004A009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8. Sekcja R Działalność związana z kulturą, rozrywką i rekreacją</w:t>
      </w:r>
    </w:p>
    <w:p w:rsidR="00A46275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Sekcje, których udział w ogólnej liczbie projektów jest niski i w związku z tym posiadają małą wartość analityczną i porównawczą zostały sklasyfikowane w jednej kategorii pod nazwą „Pozostałe sekcje”.</w:t>
      </w:r>
    </w:p>
    <w:p w:rsidR="00A46275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9. Pozostałe sekcje</w:t>
      </w:r>
    </w:p>
    <w:p w:rsidR="00A46275" w:rsidRPr="004A0091" w:rsidRDefault="00A46275" w:rsidP="004A0091">
      <w:pPr>
        <w:pStyle w:val="Akapitzlist"/>
        <w:numPr>
          <w:ilvl w:val="0"/>
          <w:numId w:val="17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Sekcja A Rolnictwo, leśnictwo, łowiectwo i rybactwo </w:t>
      </w:r>
    </w:p>
    <w:p w:rsidR="00A46275" w:rsidRPr="004A0091" w:rsidRDefault="00A46275" w:rsidP="004A0091">
      <w:pPr>
        <w:pStyle w:val="Akapitzlist"/>
        <w:numPr>
          <w:ilvl w:val="0"/>
          <w:numId w:val="17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Sekcja B Górnictwo i wydobywanie </w:t>
      </w:r>
    </w:p>
    <w:p w:rsidR="00A46275" w:rsidRPr="004A0091" w:rsidRDefault="00A46275" w:rsidP="004A0091">
      <w:pPr>
        <w:pStyle w:val="Akapitzlist"/>
        <w:numPr>
          <w:ilvl w:val="0"/>
          <w:numId w:val="17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Sekcja D Wytwarzanie i zaopatrywanie w energię elektryczną, gaz, parę wodną, gorącą wodę i powietrze do układów klimatyzacyjnych</w:t>
      </w:r>
    </w:p>
    <w:p w:rsidR="00A46275" w:rsidRPr="004A0091" w:rsidRDefault="00A46275" w:rsidP="004A0091">
      <w:pPr>
        <w:pStyle w:val="Akapitzlist"/>
        <w:numPr>
          <w:ilvl w:val="0"/>
          <w:numId w:val="17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Sekcja E Dostawa wody; gospodarowanie ciekami i odpadami oraz działalność związana z rekultywacją</w:t>
      </w:r>
    </w:p>
    <w:p w:rsidR="00A46275" w:rsidRPr="004A0091" w:rsidRDefault="00A46275" w:rsidP="004A0091">
      <w:pPr>
        <w:pStyle w:val="Akapitzlist"/>
        <w:numPr>
          <w:ilvl w:val="0"/>
          <w:numId w:val="17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Sekcja H Transport i gospodarka magazynowa </w:t>
      </w:r>
    </w:p>
    <w:p w:rsidR="00A46275" w:rsidRPr="004A0091" w:rsidRDefault="00A46275" w:rsidP="004A0091">
      <w:pPr>
        <w:pStyle w:val="Akapitzlist"/>
        <w:numPr>
          <w:ilvl w:val="0"/>
          <w:numId w:val="17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Sekcja K Działalność Finansowa i ubezpieczeniowa </w:t>
      </w:r>
    </w:p>
    <w:p w:rsidR="00A46275" w:rsidRPr="004A0091" w:rsidRDefault="00A46275" w:rsidP="004A0091">
      <w:pPr>
        <w:pStyle w:val="Akapitzlist"/>
        <w:numPr>
          <w:ilvl w:val="0"/>
          <w:numId w:val="17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Sekcja L Działalność związana z obsługą rynku nieruchomości </w:t>
      </w:r>
    </w:p>
    <w:p w:rsidR="00A46275" w:rsidRPr="004A0091" w:rsidRDefault="00A46275" w:rsidP="004A0091">
      <w:pPr>
        <w:pStyle w:val="Akapitzlist"/>
        <w:numPr>
          <w:ilvl w:val="0"/>
          <w:numId w:val="17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Sekcja N Działalność w zakresie usług administrowania i działalność wspierająca </w:t>
      </w:r>
    </w:p>
    <w:p w:rsidR="00A46275" w:rsidRPr="004A0091" w:rsidRDefault="00A46275" w:rsidP="004A0091">
      <w:pPr>
        <w:pStyle w:val="Akapitzlist"/>
        <w:numPr>
          <w:ilvl w:val="0"/>
          <w:numId w:val="17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Sekcja P Edukacja </w:t>
      </w:r>
    </w:p>
    <w:p w:rsidR="00A46275" w:rsidRPr="004A0091" w:rsidRDefault="00A46275" w:rsidP="004A0091">
      <w:pPr>
        <w:pStyle w:val="Akapitzlist"/>
        <w:numPr>
          <w:ilvl w:val="0"/>
          <w:numId w:val="17"/>
        </w:num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Sekcja S Pozostała działalność usługowa</w:t>
      </w:r>
    </w:p>
    <w:p w:rsidR="0030253F" w:rsidRDefault="003420BD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>W celu przybliżenia kontekstu przeprowadzonej analizy przedstawiono poniżej udział poszczególnych branż w ogóle przedsiębiorstw działających w Województwie Śląskim.</w:t>
      </w:r>
      <w:r w:rsidR="004A0091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Prezentowane poniżej w tabeli i na wykresie dane pochodzą z „Biuletynu statystycznego Województwa Śląskiego” za III kwartał 2012 r.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Najwię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cej przedsiębiorstw w województwie śląskim </w:t>
      </w:r>
      <w:r w:rsidR="007D786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prowadzi działalność handlową (sekcja G) -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132</w:t>
      </w:r>
      <w:r w:rsidR="0038110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 342, co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38110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tanowi 31% wszystkich podmiotów gospodarczych zarejestrowanych w województwie śląskim. </w:t>
      </w:r>
      <w:r w:rsidR="007D786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27% podmiotów prowadzi działalność sklasyfikowaną jako „pozostałe sekcje”, natomiast w sekcji F – Budownictwo działalność gospodarczą prowadzi 51 886 przedsiębiorstw (12%). Licznie reprezentowane są również sekcja C (przetwórstwo przemysłowe) – 42 406 przedsiębiorstw (10%) oraz sekcja M (działalność profesjonalna naukowa i techniczna) – 36 710 przedsiębiorstw (8%).</w:t>
      </w:r>
      <w:r w:rsidR="001006E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Z kolei branża, której w </w:t>
      </w:r>
      <w:r w:rsidR="001006E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RPO WSL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poświecono osobne poddziałania dla przedsiębiorców, czyli Działalno</w:t>
      </w:r>
      <w:r w:rsidR="001006E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ść związana z zakwaterowaniem i usługami gastrono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micznymi – Turystyka reprezentowana jest przez 14 732 podmiotów gospodarczych, co stanowi ponad 3%</w:t>
      </w:r>
      <w:r w:rsidR="006D52B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wszystkich podmiotów ujętych w 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niniejszej klasyfikacji. </w:t>
      </w:r>
    </w:p>
    <w:p w:rsidR="004A0091" w:rsidRPr="004A0091" w:rsidRDefault="004A0091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0"/>
          <w:szCs w:val="20"/>
          <w:lang w:eastAsia="pl-PL"/>
        </w:rPr>
      </w:pPr>
      <w:r w:rsidRPr="004A0091">
        <w:rPr>
          <w:rFonts w:ascii="Times New Roman" w:hAnsi="Times New Roman"/>
          <w:b/>
          <w:sz w:val="20"/>
          <w:szCs w:val="20"/>
        </w:rPr>
        <w:t>Tabela nr 2</w:t>
      </w:r>
      <w:r w:rsidRPr="004A0091">
        <w:rPr>
          <w:rFonts w:ascii="Times New Roman" w:hAnsi="Times New Roman"/>
          <w:sz w:val="20"/>
          <w:szCs w:val="20"/>
        </w:rPr>
        <w:t xml:space="preserve"> </w:t>
      </w:r>
      <w:r w:rsidRPr="004A0091">
        <w:rPr>
          <w:rFonts w:ascii="Times New Roman" w:hAnsi="Times New Roman"/>
          <w:i/>
          <w:sz w:val="20"/>
          <w:szCs w:val="20"/>
        </w:rPr>
        <w:t>Liczba podmiotów gospodarki narodowej w województwie śląskim w podziale na sekcje</w:t>
      </w:r>
      <w:r>
        <w:rPr>
          <w:rFonts w:ascii="Times New Roman" w:hAnsi="Times New Roman"/>
          <w:i/>
          <w:sz w:val="20"/>
          <w:szCs w:val="20"/>
        </w:rPr>
        <w:t xml:space="preserve"> PKD</w:t>
      </w:r>
    </w:p>
    <w:tbl>
      <w:tblPr>
        <w:tblW w:w="9655" w:type="dxa"/>
        <w:jc w:val="center"/>
        <w:tblInd w:w="-2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104"/>
        <w:gridCol w:w="2551"/>
      </w:tblGrid>
      <w:tr w:rsidR="00A46275" w:rsidRPr="004A0091" w:rsidTr="001F1F47">
        <w:trPr>
          <w:trHeight w:hRule="exact" w:val="577"/>
          <w:jc w:val="center"/>
        </w:trPr>
        <w:tc>
          <w:tcPr>
            <w:tcW w:w="7104" w:type="dxa"/>
            <w:shd w:val="clear" w:color="auto" w:fill="C6D9F1"/>
            <w:vAlign w:val="center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b/>
                <w:noProof/>
                <w:sz w:val="20"/>
                <w:szCs w:val="20"/>
                <w:lang w:eastAsia="pl-PL"/>
              </w:rPr>
              <w:t>Sekcja PKD</w:t>
            </w:r>
          </w:p>
        </w:tc>
        <w:tc>
          <w:tcPr>
            <w:tcW w:w="2551" w:type="dxa"/>
            <w:shd w:val="clear" w:color="auto" w:fill="C6D9F1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b/>
                <w:noProof/>
                <w:sz w:val="20"/>
                <w:szCs w:val="20"/>
                <w:lang w:eastAsia="pl-PL"/>
              </w:rPr>
              <w:t>Liczba podmiotów w</w:t>
            </w:r>
            <w:r w:rsidR="007D7865" w:rsidRPr="004A0091">
              <w:rPr>
                <w:rFonts w:ascii="Times New Roman" w:hAnsi="Times New Roman"/>
                <w:b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b/>
                <w:noProof/>
                <w:sz w:val="20"/>
                <w:szCs w:val="20"/>
                <w:lang w:eastAsia="pl-PL"/>
              </w:rPr>
              <w:t>woj. śląskim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A Rolnictwo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5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131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B Górnictwo i wydobywanie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431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C Przetwórstwo przemysłowe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42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406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D Wytwarzanie i zaopatrywanie w energię elektryczną, gaz, parę wodną, gorącą wodę i powietrze do układów klimatyzacyjnych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362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E Dostawa wody; gospodarowanie ciekami i odpadami oraz działalność związana z rekultywacją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1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539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F Budownictwo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51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886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G Handel Hurtowy i detaliczny; naprawa pojazdów samochodowych, włączając motocykle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132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342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H Transport i gospodarka magazynowa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29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298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I Działalność związana z zakwaterowaniem i usługami gastronomicznymi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14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732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J Informacja i komunikacja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11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036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K Działalność Finansowa i ubezpieczeniowa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16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332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L Działalność związana z obsługą rynku nieruchomości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15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181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M Działalność profesjonalna, naukowa i techniczna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36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710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N Działalność w zakresie usług administrowania i działalność wspierająca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11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072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P Edukacja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8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805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Q Opieka zdrowotna i pomoc społeczna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20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969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R Działalność związana z kulturą, rozrywką i rekreacją</w:t>
            </w:r>
          </w:p>
        </w:tc>
        <w:tc>
          <w:tcPr>
            <w:tcW w:w="2551" w:type="dxa"/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7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437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tcBorders>
              <w:bottom w:val="single" w:sz="4" w:space="0" w:color="auto"/>
            </w:tcBorders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Sekcja S Pozostała działalność usługowa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26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407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tcBorders>
              <w:bottom w:val="single" w:sz="4" w:space="0" w:color="auto"/>
            </w:tcBorders>
            <w:shd w:val="clear" w:color="auto" w:fill="auto"/>
          </w:tcPr>
          <w:p w:rsidR="00A46275" w:rsidRPr="004A0091" w:rsidRDefault="00A46275" w:rsidP="001F1F47">
            <w:pPr>
              <w:spacing w:after="0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b/>
                <w:noProof/>
                <w:sz w:val="20"/>
                <w:szCs w:val="20"/>
                <w:lang w:eastAsia="pl-PL"/>
              </w:rPr>
              <w:t xml:space="preserve">Pozostałe Sekcje 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(Sekcje A,B,D,E,H,K,L,N,P,S – ujęte łącznie)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A46275" w:rsidRPr="004A0091" w:rsidRDefault="00A46275" w:rsidP="001F1F47">
            <w:pPr>
              <w:spacing w:after="0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114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558</w:t>
            </w:r>
          </w:p>
        </w:tc>
      </w:tr>
      <w:tr w:rsidR="00A46275" w:rsidRPr="004A0091" w:rsidTr="001F1F47">
        <w:trPr>
          <w:trHeight w:hRule="exact" w:val="340"/>
          <w:jc w:val="center"/>
        </w:trPr>
        <w:tc>
          <w:tcPr>
            <w:tcW w:w="7104" w:type="dxa"/>
            <w:shd w:val="clear" w:color="auto" w:fill="D6E3BC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b/>
                <w:noProof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2551" w:type="dxa"/>
            <w:shd w:val="clear" w:color="auto" w:fill="D6E3BC"/>
          </w:tcPr>
          <w:p w:rsidR="00A46275" w:rsidRPr="004A0091" w:rsidRDefault="00A46275" w:rsidP="001F1F47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</w:pP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432</w:t>
            </w:r>
            <w:r w:rsidR="00791C9A"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 </w:t>
            </w:r>
            <w:r w:rsidRPr="004A0091">
              <w:rPr>
                <w:rFonts w:ascii="Times New Roman" w:hAnsi="Times New Roman"/>
                <w:noProof/>
                <w:sz w:val="20"/>
                <w:szCs w:val="20"/>
                <w:lang w:eastAsia="pl-PL"/>
              </w:rPr>
              <w:t>076</w:t>
            </w:r>
          </w:p>
        </w:tc>
      </w:tr>
    </w:tbl>
    <w:p w:rsidR="00670C4E" w:rsidRPr="004A0091" w:rsidRDefault="00381102" w:rsidP="004564DF">
      <w:pPr>
        <w:tabs>
          <w:tab w:val="left" w:pos="2835"/>
          <w:tab w:val="left" w:pos="12191"/>
          <w:tab w:val="left" w:pos="12333"/>
        </w:tabs>
        <w:spacing w:before="120" w:after="0"/>
        <w:jc w:val="both"/>
        <w:rPr>
          <w:rFonts w:ascii="Times New Roman" w:hAnsi="Times New Roman"/>
          <w:i/>
          <w:sz w:val="20"/>
          <w:szCs w:val="20"/>
        </w:rPr>
      </w:pPr>
      <w:r w:rsidRPr="004A0091">
        <w:rPr>
          <w:rFonts w:ascii="Times New Roman" w:hAnsi="Times New Roman"/>
          <w:i/>
          <w:sz w:val="20"/>
          <w:szCs w:val="20"/>
        </w:rPr>
        <w:t>[</w:t>
      </w:r>
      <w:r w:rsidR="00A46275" w:rsidRPr="004A0091">
        <w:rPr>
          <w:rFonts w:ascii="Times New Roman" w:hAnsi="Times New Roman"/>
          <w:i/>
          <w:sz w:val="20"/>
          <w:szCs w:val="20"/>
        </w:rPr>
        <w:t xml:space="preserve">Źródło: Biuletyn statystyczny województwa Śląskiego. III Kwartał 2012. </w:t>
      </w:r>
      <w:r w:rsidRPr="004A0091">
        <w:rPr>
          <w:rFonts w:ascii="Times New Roman" w:hAnsi="Times New Roman"/>
          <w:i/>
          <w:sz w:val="20"/>
          <w:szCs w:val="20"/>
        </w:rPr>
        <w:t>Urząd Statystyczny w Katowicach]</w:t>
      </w:r>
    </w:p>
    <w:p w:rsidR="00A46275" w:rsidRPr="004564DF" w:rsidRDefault="00A46275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381102" w:rsidRPr="004564DF" w:rsidRDefault="001F1F47" w:rsidP="001F1F47">
      <w:pPr>
        <w:tabs>
          <w:tab w:val="left" w:pos="2835"/>
          <w:tab w:val="left" w:pos="12191"/>
          <w:tab w:val="left" w:pos="12333"/>
        </w:tabs>
        <w:spacing w:after="0"/>
        <w:ind w:left="-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829300" cy="3600450"/>
            <wp:effectExtent l="0" t="0" r="0" b="0"/>
            <wp:docPr id="72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413" cy="3602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102" w:rsidRPr="004A0091" w:rsidRDefault="00381102" w:rsidP="004564DF">
      <w:pPr>
        <w:tabs>
          <w:tab w:val="left" w:pos="2835"/>
          <w:tab w:val="left" w:pos="12191"/>
          <w:tab w:val="left" w:pos="12333"/>
        </w:tabs>
        <w:spacing w:before="120" w:after="0"/>
        <w:jc w:val="both"/>
        <w:rPr>
          <w:rFonts w:ascii="Times New Roman" w:hAnsi="Times New Roman"/>
          <w:i/>
          <w:noProof/>
          <w:sz w:val="20"/>
          <w:szCs w:val="20"/>
          <w:lang w:eastAsia="pl-PL"/>
        </w:rPr>
      </w:pPr>
      <w:r w:rsidRPr="004A0091">
        <w:rPr>
          <w:rFonts w:ascii="Times New Roman" w:hAnsi="Times New Roman"/>
          <w:b/>
          <w:sz w:val="20"/>
          <w:szCs w:val="20"/>
        </w:rPr>
        <w:t xml:space="preserve">Wykres nr </w:t>
      </w:r>
      <w:r w:rsidR="0057252D" w:rsidRPr="004A0091">
        <w:rPr>
          <w:rFonts w:ascii="Times New Roman" w:hAnsi="Times New Roman"/>
          <w:b/>
          <w:sz w:val="20"/>
          <w:szCs w:val="20"/>
        </w:rPr>
        <w:t>31</w:t>
      </w:r>
      <w:r w:rsidRPr="004A0091">
        <w:rPr>
          <w:rFonts w:ascii="Times New Roman" w:hAnsi="Times New Roman"/>
          <w:i/>
          <w:sz w:val="20"/>
          <w:szCs w:val="20"/>
        </w:rPr>
        <w:t xml:space="preserve"> Liczba Podmiotów gospodarki narodowej w Województwie Śląskim w podziale na sekcje PKD [</w:t>
      </w:r>
      <w:r w:rsidR="00A46275" w:rsidRPr="004A0091">
        <w:rPr>
          <w:rFonts w:ascii="Times New Roman" w:hAnsi="Times New Roman"/>
          <w:i/>
          <w:noProof/>
          <w:sz w:val="20"/>
          <w:szCs w:val="20"/>
          <w:lang w:eastAsia="pl-PL"/>
        </w:rPr>
        <w:t>Źródło: Biuletyn statystyczny województwa Śląskiego. III Kwartał 2012. Urząd Statystyczny w Katowicach</w:t>
      </w:r>
      <w:r w:rsidRPr="004A0091">
        <w:rPr>
          <w:rFonts w:ascii="Times New Roman" w:hAnsi="Times New Roman"/>
          <w:i/>
          <w:noProof/>
          <w:sz w:val="20"/>
          <w:szCs w:val="20"/>
          <w:lang w:eastAsia="pl-PL"/>
        </w:rPr>
        <w:t>]</w:t>
      </w:r>
    </w:p>
    <w:p w:rsidR="00A46275" w:rsidRPr="004564DF" w:rsidRDefault="0030253F" w:rsidP="004564DF">
      <w:pPr>
        <w:pStyle w:val="Nagwek2"/>
        <w:numPr>
          <w:ilvl w:val="0"/>
          <w:numId w:val="12"/>
        </w:numPr>
        <w:ind w:left="851" w:hanging="491"/>
        <w:jc w:val="both"/>
        <w:rPr>
          <w:rFonts w:ascii="Times New Roman" w:hAnsi="Times New Roman"/>
          <w:i w:val="0"/>
          <w:noProof/>
          <w:sz w:val="24"/>
          <w:szCs w:val="24"/>
          <w:lang w:eastAsia="pl-PL"/>
        </w:rPr>
      </w:pPr>
      <w:r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 xml:space="preserve"> </w:t>
      </w:r>
      <w:bookmarkStart w:id="10" w:name="_Toc356809925"/>
      <w:r w:rsidR="006C32C7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>Dominujące</w:t>
      </w:r>
      <w:r w:rsidR="00A46275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 xml:space="preserve"> sekcj</w:t>
      </w:r>
      <w:r w:rsidR="006C32C7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>e</w:t>
      </w:r>
      <w:r w:rsidR="00A46275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 xml:space="preserve"> PKD projektów </w:t>
      </w:r>
      <w:r w:rsidR="003F4219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 xml:space="preserve">realizowanych </w:t>
      </w:r>
      <w:r w:rsidR="004A05D7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>przez</w:t>
      </w:r>
      <w:r w:rsidR="003F4219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 xml:space="preserve"> przedsiębiorców</w:t>
      </w:r>
      <w:r w:rsidR="002C4D5D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 xml:space="preserve"> w </w:t>
      </w:r>
      <w:r w:rsidR="006C32C7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>ramach RPO WSL</w:t>
      </w:r>
      <w:bookmarkEnd w:id="10"/>
    </w:p>
    <w:p w:rsidR="00BE25D9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Zgodnie ze stanem na dzień 31 grudnia 2012 r., Śląskie Centrum Przedsiębiorczości zawarło 2</w:t>
      </w:r>
      <w:r w:rsidR="002C4D5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578 umów o dofinansowanie. Analizując niniejsze projekty pod kątem dominującej branży, którą reprezentują, zauważalna jest zdecydowana dominacja </w:t>
      </w:r>
      <w:r w:rsidR="006D52B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Sekcji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C</w:t>
      </w:r>
      <w:r w:rsidR="006D52B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–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Przetwórstwo</w:t>
      </w:r>
      <w:r w:rsidR="006D52B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przem</w:t>
      </w:r>
      <w:r w:rsidR="006D52B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ysłowe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Blisko połowa, bo aż 46%</w:t>
      </w:r>
      <w:r w:rsidR="006D52B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wszystkich projektów (oraz 45% </w:t>
      </w:r>
      <w:r w:rsidR="00A73A3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ogólnej </w:t>
      </w:r>
      <w:r w:rsidR="006D52B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wartości dofinansowania)</w:t>
      </w:r>
      <w:r w:rsidR="00A73A3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6D52B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którymi ŚCP z</w:t>
      </w:r>
      <w:r w:rsidR="00A73A3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awarło umowy o dofinansowanie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ramach RPO WSL realizo</w:t>
      </w:r>
      <w:r w:rsidR="006D52B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wana jest w obszarze przemysłu.</w:t>
      </w:r>
      <w:r w:rsidR="00A73A3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Drugą najliczniej reprezentowaną </w:t>
      </w:r>
      <w:r w:rsidR="002C4D5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sekcją PKD j</w:t>
      </w:r>
      <w:r w:rsidR="00A73A3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est handel (13% ogólnej liczby projektów).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Z kolei, jeżeli </w:t>
      </w:r>
      <w:r w:rsidR="00A73A3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wziąć pod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u</w:t>
      </w:r>
      <w:r w:rsidR="002C4D5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wagę wartość dofinansowania,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drugą co do wielkości </w:t>
      </w:r>
      <w:r w:rsidR="002C4D5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branżą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jest </w:t>
      </w:r>
      <w:r w:rsidR="00A73A3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ziałalność związana z zakwaterowaniem i usługami gastronomicznymi, sklasyfikowana w sekcji I</w:t>
      </w:r>
      <w:r w:rsidR="00A73A3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– dotychczas podpisanych zostało 199 umów na łączną wartość dofinansowania ponad </w:t>
      </w:r>
      <w:r w:rsidR="007444F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2</w:t>
      </w:r>
      <w:r w:rsidR="00A73A3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2 mln </w:t>
      </w:r>
      <w:r w:rsidR="007444F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A73A3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 co stanowi 14% ogólnej wartości udzielonego dofinansowania.</w:t>
      </w:r>
      <w:r w:rsidR="003F421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</w:p>
    <w:p w:rsidR="00A46275" w:rsidRPr="004564DF" w:rsidRDefault="00BE25D9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tym miejscu należałoby zwrócić uwagę na fakt, iż średnia wartość projektu z branży turystycznej jest trzykrotnie większa niż projektu z branży handlowej, co przekłada się bezpośrednio na wartości udzielanego tym branżom dofinansowania. W RPO WSL dedykowano dwa poddziałania projektom z branży turystycznej, projekty te konkurowały więc tylko między sobą, co było uzasadnione specyfiką projektów, jak również znaczeniem turystyki dla województwa śląskiego. Projekty realizowane przez przedsiębiorców tej branży opierały się w głównej mierze na rozbudowie/</w:t>
      </w:r>
      <w:r w:rsidR="000C5A8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nadbudowie bazy gastronomiczno-hotelarskiej oraz zakupie środków trwałych, co skutkowało wysokimi kosztami inwestycji.</w:t>
      </w:r>
      <w:r w:rsidR="0098314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Podobnie </w:t>
      </w:r>
      <w:r w:rsidR="0098314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 xml:space="preserve">projekty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realizowane w </w:t>
      </w:r>
      <w:r w:rsidR="0098314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branży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sklasyfikowanej w sekcji R Działalność związana z kulturą rozrywką i rekreacją, gdzie średnia wartość projektu i średnia wartość dofinansowania są również bardzo wysokie. Większość tych projektów była wyłoniona w</w:t>
      </w:r>
      <w:r w:rsidR="0098314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ramach konkursów ogłaszanych </w:t>
      </w:r>
      <w:r w:rsidR="000E5D9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</w:t>
      </w:r>
      <w:r w:rsidR="00983140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 </w:t>
      </w:r>
      <w:r w:rsidR="000E5D9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oddziała</w:t>
      </w:r>
      <w:r w:rsidR="000E5D9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niu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3.2.1.</w:t>
      </w:r>
    </w:p>
    <w:p w:rsidR="00A46275" w:rsidRPr="004564DF" w:rsidRDefault="00983140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Najmniejsze projekty są realizowane natomiast w branży handlowej </w:t>
      </w:r>
      <w:r w:rsidR="000C5A8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oraz projekty z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sekcji M –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działalność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profesjonalną, naukową i techniczną.</w:t>
      </w:r>
    </w:p>
    <w:p w:rsidR="004A0091" w:rsidRDefault="004A0091" w:rsidP="004A0091">
      <w:pPr>
        <w:tabs>
          <w:tab w:val="left" w:pos="2835"/>
          <w:tab w:val="left" w:pos="12191"/>
          <w:tab w:val="left" w:pos="12333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</w:p>
    <w:p w:rsidR="00457D60" w:rsidRPr="004564DF" w:rsidRDefault="00457D60" w:rsidP="004564DF">
      <w:pPr>
        <w:tabs>
          <w:tab w:val="left" w:pos="2835"/>
          <w:tab w:val="left" w:pos="12191"/>
          <w:tab w:val="left" w:pos="12333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C50A8B" w:rsidRPr="004564DF" w:rsidRDefault="001F1F47" w:rsidP="004A0091">
      <w:pPr>
        <w:tabs>
          <w:tab w:val="left" w:pos="2835"/>
          <w:tab w:val="left" w:pos="12191"/>
          <w:tab w:val="left" w:pos="12333"/>
        </w:tabs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6206490" cy="3383280"/>
            <wp:effectExtent l="0" t="0" r="0" b="0"/>
            <wp:docPr id="71" name="Obraz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90" cy="3383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091" w:rsidRDefault="004A0091" w:rsidP="004A0091">
      <w:pPr>
        <w:tabs>
          <w:tab w:val="left" w:pos="2835"/>
          <w:tab w:val="left" w:pos="12191"/>
          <w:tab w:val="left" w:pos="12333"/>
        </w:tabs>
        <w:ind w:right="-2"/>
        <w:jc w:val="both"/>
        <w:rPr>
          <w:rFonts w:ascii="Times New Roman" w:hAnsi="Times New Roman"/>
          <w:b/>
          <w:sz w:val="20"/>
          <w:szCs w:val="20"/>
        </w:rPr>
      </w:pPr>
    </w:p>
    <w:p w:rsidR="007444F6" w:rsidRPr="004A0091" w:rsidRDefault="00C50A8B" w:rsidP="004A0091">
      <w:pPr>
        <w:tabs>
          <w:tab w:val="left" w:pos="2835"/>
          <w:tab w:val="left" w:pos="12191"/>
          <w:tab w:val="left" w:pos="12333"/>
        </w:tabs>
        <w:ind w:right="-2"/>
        <w:jc w:val="both"/>
        <w:rPr>
          <w:rFonts w:ascii="Times New Roman" w:hAnsi="Times New Roman"/>
          <w:i/>
          <w:sz w:val="20"/>
          <w:szCs w:val="20"/>
        </w:rPr>
      </w:pPr>
      <w:r w:rsidRPr="004A0091">
        <w:rPr>
          <w:rFonts w:ascii="Times New Roman" w:hAnsi="Times New Roman"/>
          <w:b/>
          <w:sz w:val="20"/>
          <w:szCs w:val="20"/>
        </w:rPr>
        <w:t xml:space="preserve">Wykres nr </w:t>
      </w:r>
      <w:r w:rsidR="0057252D" w:rsidRPr="004A0091">
        <w:rPr>
          <w:rFonts w:ascii="Times New Roman" w:hAnsi="Times New Roman"/>
          <w:b/>
          <w:sz w:val="20"/>
          <w:szCs w:val="20"/>
        </w:rPr>
        <w:t>32</w:t>
      </w:r>
      <w:r w:rsidRPr="004A0091">
        <w:rPr>
          <w:rFonts w:ascii="Times New Roman" w:hAnsi="Times New Roman"/>
          <w:i/>
          <w:sz w:val="20"/>
          <w:szCs w:val="20"/>
        </w:rPr>
        <w:t xml:space="preserve"> Wartość całkowita oraz wartość dofinansowania projektów </w:t>
      </w:r>
      <w:r w:rsidR="00ED7FB2" w:rsidRPr="004A0091">
        <w:rPr>
          <w:rFonts w:ascii="Times New Roman" w:hAnsi="Times New Roman"/>
          <w:i/>
          <w:sz w:val="20"/>
          <w:szCs w:val="20"/>
        </w:rPr>
        <w:t>realizowanych przez przedsiębiorców w podziale na sekcje PKD</w:t>
      </w:r>
    </w:p>
    <w:p w:rsidR="007444F6" w:rsidRPr="004564DF" w:rsidRDefault="001F1F47" w:rsidP="004A0091">
      <w:pPr>
        <w:tabs>
          <w:tab w:val="left" w:pos="2835"/>
          <w:tab w:val="left" w:pos="12191"/>
          <w:tab w:val="left" w:pos="12333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191250" cy="2876550"/>
            <wp:effectExtent l="0" t="0" r="0" b="0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287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46275" w:rsidRPr="004A0091" w:rsidRDefault="00471FB5" w:rsidP="004564DF">
      <w:pPr>
        <w:tabs>
          <w:tab w:val="left" w:pos="2835"/>
          <w:tab w:val="left" w:pos="12191"/>
          <w:tab w:val="left" w:pos="12333"/>
        </w:tabs>
        <w:jc w:val="both"/>
        <w:rPr>
          <w:rFonts w:ascii="Times New Roman" w:hAnsi="Times New Roman"/>
          <w:i/>
          <w:sz w:val="20"/>
          <w:szCs w:val="20"/>
        </w:rPr>
      </w:pPr>
      <w:r w:rsidRPr="004A0091">
        <w:rPr>
          <w:rFonts w:ascii="Times New Roman" w:hAnsi="Times New Roman"/>
          <w:b/>
          <w:sz w:val="20"/>
          <w:szCs w:val="20"/>
        </w:rPr>
        <w:t xml:space="preserve">Wykres nr </w:t>
      </w:r>
      <w:r w:rsidR="0020324F" w:rsidRPr="004A0091">
        <w:rPr>
          <w:rFonts w:ascii="Times New Roman" w:hAnsi="Times New Roman"/>
          <w:b/>
          <w:sz w:val="20"/>
          <w:szCs w:val="20"/>
        </w:rPr>
        <w:t>3</w:t>
      </w:r>
      <w:r w:rsidR="0057252D" w:rsidRPr="004A0091">
        <w:rPr>
          <w:rFonts w:ascii="Times New Roman" w:hAnsi="Times New Roman"/>
          <w:b/>
          <w:sz w:val="20"/>
          <w:szCs w:val="20"/>
        </w:rPr>
        <w:t>3</w:t>
      </w:r>
      <w:r w:rsidRPr="004A0091">
        <w:rPr>
          <w:rFonts w:ascii="Times New Roman" w:hAnsi="Times New Roman"/>
          <w:sz w:val="20"/>
          <w:szCs w:val="20"/>
        </w:rPr>
        <w:t xml:space="preserve"> </w:t>
      </w:r>
      <w:r w:rsidRPr="004A0091">
        <w:rPr>
          <w:rFonts w:ascii="Times New Roman" w:hAnsi="Times New Roman"/>
          <w:i/>
          <w:sz w:val="20"/>
          <w:szCs w:val="20"/>
        </w:rPr>
        <w:t>Średnia wartość  projektu i średnia wartość dofinans</w:t>
      </w:r>
      <w:r w:rsidR="007444F6" w:rsidRPr="004A0091">
        <w:rPr>
          <w:rFonts w:ascii="Times New Roman" w:hAnsi="Times New Roman"/>
          <w:i/>
          <w:sz w:val="20"/>
          <w:szCs w:val="20"/>
        </w:rPr>
        <w:t>owania w podziale na sekcje PKD</w:t>
      </w:r>
    </w:p>
    <w:p w:rsidR="00A46275" w:rsidRPr="004564DF" w:rsidRDefault="009553AD" w:rsidP="004564DF">
      <w:pPr>
        <w:pStyle w:val="Nagwek2"/>
        <w:numPr>
          <w:ilvl w:val="0"/>
          <w:numId w:val="12"/>
        </w:numPr>
        <w:ind w:left="851" w:hanging="491"/>
        <w:jc w:val="both"/>
        <w:rPr>
          <w:rFonts w:ascii="Times New Roman" w:hAnsi="Times New Roman"/>
          <w:i w:val="0"/>
          <w:noProof/>
          <w:sz w:val="24"/>
          <w:szCs w:val="24"/>
          <w:lang w:eastAsia="pl-PL"/>
        </w:rPr>
      </w:pPr>
      <w:r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 xml:space="preserve"> </w:t>
      </w:r>
      <w:bookmarkStart w:id="11" w:name="_Toc356809926"/>
      <w:r w:rsidR="006C32C7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>Dominujące sekcje</w:t>
      </w:r>
      <w:r w:rsidR="00A46275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 xml:space="preserve"> PKD </w:t>
      </w:r>
      <w:r w:rsidR="004A05D7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>projektów realizowanych przez przedsiębiorców</w:t>
      </w:r>
      <w:r w:rsidR="006C32C7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 xml:space="preserve"> w </w:t>
      </w:r>
      <w:r w:rsidR="00675E73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>subregion</w:t>
      </w:r>
      <w:r w:rsidR="001D4133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>ach województwa śląskiego</w:t>
      </w:r>
      <w:bookmarkEnd w:id="11"/>
    </w:p>
    <w:p w:rsidR="006C32C7" w:rsidRPr="004564DF" w:rsidRDefault="006C32C7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Poniższa analiza wskazuje które branże są najbardziej aktywne czy też najskuteczniejsze w pozyskiwaniu wsparcia z RPO WSL w poszczególnych subregionach województwa śląskiego. Można zauważyć pewne zróżnicowanie między poszczególnymi subregionami, jednakże widać także wyraźną dominację sektora przemysłu we wszystkich subregionach.</w:t>
      </w:r>
    </w:p>
    <w:p w:rsidR="00E22588" w:rsidRPr="004564DF" w:rsidRDefault="00C656F4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subregionie centralnym projekty z branży przemysłowej stanowią 48% wszystkim projektów realizowanych na tym obszarze.</w:t>
      </w:r>
      <w:r w:rsidR="00D77C7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Daje to 580 umów o dofinansowanie. </w:t>
      </w:r>
      <w:r w:rsidR="00E2258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Tylko dla tej branży w subregionie centralnym realizowanych jest mniej niż 50% wszystkich projektów. Warto zwrócić również uwagę, że subregion centralny jest zdecydowanie dominujący dla projektów dotyczących działalności związanej z opieką zdrowotną i pomocą społeczną</w:t>
      </w:r>
      <w:r w:rsidR="0007471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oraz budownictwa – </w:t>
      </w:r>
      <w:r w:rsidR="00E2258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realizowanych</w:t>
      </w:r>
      <w:r w:rsidR="0007471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E2258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jest </w:t>
      </w:r>
      <w:r w:rsidR="0007471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tutaj </w:t>
      </w:r>
      <w:r w:rsidR="00E2258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73% projektów z tego zakresu.</w:t>
      </w:r>
      <w:r w:rsidR="0007471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Podobnie sytuacja wygląda w odniesieniu do p</w:t>
      </w:r>
      <w:r w:rsidR="00A4133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rojektów z zakresu informacji i </w:t>
      </w:r>
      <w:r w:rsidR="0007471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komunikacji – 79% realizowanych jest na terenie subregionu centralnego.</w:t>
      </w:r>
    </w:p>
    <w:p w:rsidR="00A46275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Subregion południowy posiada dość liczną reprezentację wśród projektów turystycznych. Co prawda ponad połowa projektów przedmiotowej branży 52% jest </w:t>
      </w:r>
      <w:r w:rsidR="0053018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zlokalizowana w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subregion</w:t>
      </w:r>
      <w:r w:rsidR="0053018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ie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centraln</w:t>
      </w:r>
      <w:r w:rsidR="0053018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ym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, niemniej 23% projektów daje drugie miejsce subregionowi południowemu. </w:t>
      </w:r>
      <w:r w:rsidR="0053018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pozostałych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dw</w:t>
      </w:r>
      <w:r w:rsidR="0053018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óch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subregion</w:t>
      </w:r>
      <w:r w:rsidR="0053018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ach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północny</w:t>
      </w:r>
      <w:r w:rsidR="0053018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 i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zachodni</w:t>
      </w:r>
      <w:r w:rsidR="0053018C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 realizowanych jest odpowiednio 7% i 11% projektów z branży turystycznej.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</w:p>
    <w:p w:rsidR="00A46275" w:rsidRPr="004564DF" w:rsidRDefault="00EB6F4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subregionie północnym  zdecydowanie dominują projekty z branży przemysłowej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 stanowiąc blisko 69% wszystkich projektów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realizowanych na tym obszarze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Pozostałe obszary działalności gospodarcz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ej nie wyróżniają się, a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uwagę zwraca jedynie bardzo mały udział p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rojektów z zakresu informacji i 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komunikacji stanowiące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–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procentowym ujęciu jedynie 3%.</w:t>
      </w:r>
    </w:p>
    <w:p w:rsidR="00EB6F45" w:rsidRPr="004564DF" w:rsidRDefault="00EB6F4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 xml:space="preserve">W subregionie zachodnim realizowanych jest jedynie 10% wszystkich projektów. Największy udział jest tutaj projektów z sektora </w:t>
      </w:r>
      <w:r w:rsidR="009869F4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przemysłu najmniej związanych z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działalnością w zakresie informacji i komunikacji.</w:t>
      </w:r>
    </w:p>
    <w:p w:rsidR="00303221" w:rsidRPr="004564DF" w:rsidRDefault="00EB6F4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Wśród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umów o dofinansowanie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projektów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podpisanych przez Śląskie Centrum Przedsiębiorczości 44 realizowane są przez Beneficjentów mających swoją siedzibę poza województwem śląskim. Najwięcej, bo 11 spośród nich,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dotyczy działalności związanej z zakwaterowaniem i usługami gastronomicznymi, nat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omiast 9 realizowany jest obszarze działalności powiązanym z kulturą, ro</w:t>
      </w:r>
      <w:r w:rsidR="009869F4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zrywką i rekreacją. W związku z 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powyższym można uznać i blisko połowa projektów realizowany przez beneficjentów nie mających swojej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siedziby w 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województwie śląskim realizowana jest w obszarze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turystyki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C656F4" w:rsidRPr="004564DF" w:rsidRDefault="00C656F4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sectPr w:rsidR="00C656F4" w:rsidRPr="004564DF" w:rsidSect="00755478">
          <w:pgSz w:w="11906" w:h="16838"/>
          <w:pgMar w:top="1417" w:right="1417" w:bottom="1417" w:left="1417" w:header="709" w:footer="709" w:gutter="0"/>
          <w:cols w:space="708"/>
          <w:titlePg/>
          <w:docGrid w:linePitch="360"/>
        </w:sectPr>
      </w:pPr>
    </w:p>
    <w:p w:rsidR="007B2423" w:rsidRPr="004A0091" w:rsidRDefault="004A0091" w:rsidP="004564DF">
      <w:pPr>
        <w:tabs>
          <w:tab w:val="left" w:pos="2835"/>
        </w:tabs>
        <w:spacing w:before="120" w:after="60"/>
        <w:jc w:val="both"/>
        <w:rPr>
          <w:rFonts w:ascii="Times New Roman" w:hAnsi="Times New Roman"/>
          <w:i/>
          <w:sz w:val="20"/>
          <w:szCs w:val="20"/>
        </w:rPr>
      </w:pPr>
      <w:r w:rsidRPr="004A0091">
        <w:rPr>
          <w:rFonts w:ascii="Times New Roman" w:hAnsi="Times New Roman"/>
          <w:b/>
          <w:sz w:val="20"/>
          <w:szCs w:val="20"/>
        </w:rPr>
        <w:lastRenderedPageBreak/>
        <w:t>Tabela nr 4</w:t>
      </w:r>
      <w:r w:rsidRPr="004A0091">
        <w:rPr>
          <w:rFonts w:ascii="Times New Roman" w:hAnsi="Times New Roman"/>
          <w:i/>
          <w:sz w:val="20"/>
          <w:szCs w:val="20"/>
        </w:rPr>
        <w:t xml:space="preserve"> Projekty w podziale na sekcje PKD w subregionie Centralnym</w:t>
      </w:r>
      <w:r w:rsidR="00DC665F" w:rsidRPr="00DC665F">
        <w:rPr>
          <w:rFonts w:ascii="Times New Roman" w:hAnsi="Times New Roman"/>
          <w:i/>
          <w:sz w:val="20"/>
          <w:szCs w:val="20"/>
        </w:rPr>
        <w:fldChar w:fldCharType="begin"/>
      </w:r>
      <w:r w:rsidR="007B2423" w:rsidRPr="004A0091">
        <w:rPr>
          <w:rFonts w:ascii="Times New Roman" w:hAnsi="Times New Roman"/>
          <w:i/>
          <w:sz w:val="20"/>
          <w:szCs w:val="20"/>
        </w:rPr>
        <w:instrText xml:space="preserve"> LINK Excel.Sheet.12 "C:\\Documents and Settings\\Makuchg.UMWS\\Pulpit\\Analiza w Euro.xlsx" "Arkusz2!W1K1:W12K4" \a \f 4 \h  \* MERGEFORMAT </w:instrText>
      </w:r>
      <w:r w:rsidR="00DC665F" w:rsidRPr="00DC665F">
        <w:rPr>
          <w:rFonts w:ascii="Times New Roman" w:hAnsi="Times New Roman"/>
          <w:i/>
          <w:sz w:val="20"/>
          <w:szCs w:val="20"/>
        </w:rPr>
        <w:fldChar w:fldCharType="separate"/>
      </w:r>
    </w:p>
    <w:tbl>
      <w:tblPr>
        <w:tblW w:w="13742" w:type="dxa"/>
        <w:jc w:val="center"/>
        <w:tblInd w:w="70" w:type="dxa"/>
        <w:tblCellMar>
          <w:left w:w="70" w:type="dxa"/>
          <w:right w:w="70" w:type="dxa"/>
        </w:tblCellMar>
        <w:tblLook w:val="04A0"/>
      </w:tblPr>
      <w:tblGrid>
        <w:gridCol w:w="7513"/>
        <w:gridCol w:w="2503"/>
        <w:gridCol w:w="2033"/>
        <w:gridCol w:w="1693"/>
      </w:tblGrid>
      <w:tr w:rsidR="007B2423" w:rsidRPr="004A0091" w:rsidTr="00191026">
        <w:trPr>
          <w:trHeight w:val="221"/>
          <w:jc w:val="center"/>
        </w:trPr>
        <w:tc>
          <w:tcPr>
            <w:tcW w:w="7513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</w:t>
            </w:r>
          </w:p>
        </w:tc>
        <w:tc>
          <w:tcPr>
            <w:tcW w:w="622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92D050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Subregion Centralny</w:t>
            </w:r>
          </w:p>
        </w:tc>
      </w:tr>
      <w:tr w:rsidR="007B2423" w:rsidRPr="004A0091" w:rsidTr="00191026">
        <w:trPr>
          <w:trHeight w:val="411"/>
          <w:jc w:val="center"/>
        </w:trPr>
        <w:tc>
          <w:tcPr>
            <w:tcW w:w="7513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Wartość projektów </w:t>
            </w:r>
            <w:r w:rsidR="00191026"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br/>
            </w: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(EUR)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Dofinansowanie (EUR)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19102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7B2423"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7B2423" w:rsidRPr="004A0091" w:rsidTr="00191026">
        <w:trPr>
          <w:trHeight w:val="389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C Przetwórstwo przemysłowe</w:t>
            </w:r>
          </w:p>
        </w:tc>
        <w:tc>
          <w:tcPr>
            <w:tcW w:w="2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93 122 106,31 EUR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37 301 255,28 EUR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580</w:t>
            </w:r>
          </w:p>
        </w:tc>
      </w:tr>
      <w:tr w:rsidR="007B2423" w:rsidRPr="004A0091" w:rsidTr="00191026">
        <w:trPr>
          <w:trHeight w:val="367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I Działalność związana z zakwaterowaniem i usługami gastronomicznymi</w:t>
            </w:r>
          </w:p>
        </w:tc>
        <w:tc>
          <w:tcPr>
            <w:tcW w:w="2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37 771 677,67 EUR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11 958 166,92 EUR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105</w:t>
            </w:r>
          </w:p>
        </w:tc>
      </w:tr>
      <w:tr w:rsidR="007B2423" w:rsidRPr="004A0091" w:rsidTr="00191026">
        <w:trPr>
          <w:trHeight w:val="585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G handel hurtowy i detaliczny; naprawa pojazdów samochodowych, wyłączając motocykle</w:t>
            </w:r>
          </w:p>
        </w:tc>
        <w:tc>
          <w:tcPr>
            <w:tcW w:w="2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27 112 824,32 EUR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9 701 318,18 EUR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257</w:t>
            </w:r>
          </w:p>
        </w:tc>
      </w:tr>
      <w:tr w:rsidR="007B2423" w:rsidRPr="004A0091" w:rsidTr="00191026">
        <w:trPr>
          <w:trHeight w:val="338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J Informacja i komunikacja</w:t>
            </w:r>
          </w:p>
        </w:tc>
        <w:tc>
          <w:tcPr>
            <w:tcW w:w="2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17 999 564,50 EUR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7 551 877,91 EUR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82</w:t>
            </w:r>
          </w:p>
        </w:tc>
      </w:tr>
      <w:tr w:rsidR="007B2423" w:rsidRPr="004A0091" w:rsidTr="00191026">
        <w:trPr>
          <w:trHeight w:val="330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Q Opieka zdrowotna i pomoc społeczna</w:t>
            </w:r>
          </w:p>
        </w:tc>
        <w:tc>
          <w:tcPr>
            <w:tcW w:w="2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14 140 710,18 EUR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7 148 195,37 EUR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144</w:t>
            </w:r>
          </w:p>
        </w:tc>
      </w:tr>
      <w:tr w:rsidR="007B2423" w:rsidRPr="004A0091" w:rsidTr="00191026">
        <w:trPr>
          <w:trHeight w:val="337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F Budownictwo</w:t>
            </w:r>
          </w:p>
        </w:tc>
        <w:tc>
          <w:tcPr>
            <w:tcW w:w="2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14 865 530,16 EUR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5 851 913,35 EUR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67</w:t>
            </w:r>
          </w:p>
        </w:tc>
      </w:tr>
      <w:tr w:rsidR="007B2423" w:rsidRPr="004A0091" w:rsidTr="00191026">
        <w:trPr>
          <w:trHeight w:val="111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Pozostałe sekcje</w:t>
            </w:r>
          </w:p>
        </w:tc>
        <w:tc>
          <w:tcPr>
            <w:tcW w:w="2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12 928 450,40 EUR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4 844 298,62 EUR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88</w:t>
            </w:r>
          </w:p>
        </w:tc>
      </w:tr>
      <w:tr w:rsidR="007B2423" w:rsidRPr="004A0091" w:rsidTr="00191026">
        <w:trPr>
          <w:trHeight w:val="343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R Działalność związana z kulturą, rozrywką i rekreacją</w:t>
            </w:r>
          </w:p>
        </w:tc>
        <w:tc>
          <w:tcPr>
            <w:tcW w:w="2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11 762 452,88 EUR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4 291 385,97 EUR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53</w:t>
            </w:r>
          </w:p>
        </w:tc>
      </w:tr>
      <w:tr w:rsidR="007B2423" w:rsidRPr="004A0091" w:rsidTr="00191026">
        <w:trPr>
          <w:trHeight w:val="262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M Działalność profesjonalna, naukowa i techniczna</w:t>
            </w:r>
          </w:p>
        </w:tc>
        <w:tc>
          <w:tcPr>
            <w:tcW w:w="2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7 756 059,05 EUR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3 415 145,75 EUR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99</w:t>
            </w:r>
          </w:p>
        </w:tc>
      </w:tr>
      <w:tr w:rsidR="007B2423" w:rsidRPr="004A0091" w:rsidTr="00191026">
        <w:trPr>
          <w:trHeight w:val="420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2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237 459 375,48 EUR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92 063 557,36 EUR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2423" w:rsidRPr="004A0091" w:rsidRDefault="007B2423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4A0091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1475</w:t>
            </w:r>
          </w:p>
        </w:tc>
      </w:tr>
    </w:tbl>
    <w:p w:rsidR="001F1F47" w:rsidRDefault="00DC665F" w:rsidP="004564DF">
      <w:pPr>
        <w:tabs>
          <w:tab w:val="left" w:pos="2835"/>
        </w:tabs>
        <w:spacing w:before="120" w:after="60"/>
        <w:jc w:val="both"/>
        <w:rPr>
          <w:rFonts w:ascii="Times New Roman" w:hAnsi="Times New Roman"/>
          <w:sz w:val="24"/>
          <w:szCs w:val="24"/>
        </w:rPr>
      </w:pPr>
      <w:r w:rsidRPr="004564DF">
        <w:rPr>
          <w:rFonts w:ascii="Times New Roman" w:hAnsi="Times New Roman"/>
          <w:sz w:val="24"/>
          <w:szCs w:val="24"/>
        </w:rPr>
        <w:fldChar w:fldCharType="end"/>
      </w:r>
    </w:p>
    <w:p w:rsidR="00FC7536" w:rsidRPr="004564DF" w:rsidRDefault="001F1F47" w:rsidP="001F1F47">
      <w:pPr>
        <w:tabs>
          <w:tab w:val="left" w:pos="2835"/>
        </w:tabs>
        <w:spacing w:before="120" w:after="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8905875" cy="2533072"/>
            <wp:effectExtent l="0" t="0" r="0" b="0"/>
            <wp:docPr id="69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5560" cy="25386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5F7E" w:rsidRDefault="00025F7E" w:rsidP="004564DF">
      <w:pPr>
        <w:tabs>
          <w:tab w:val="left" w:pos="2835"/>
        </w:tabs>
        <w:spacing w:before="120" w:after="60"/>
        <w:jc w:val="both"/>
        <w:rPr>
          <w:rFonts w:ascii="Times New Roman" w:hAnsi="Times New Roman"/>
          <w:i/>
          <w:sz w:val="20"/>
          <w:szCs w:val="20"/>
        </w:rPr>
      </w:pPr>
      <w:r w:rsidRPr="00192F66">
        <w:rPr>
          <w:rFonts w:ascii="Times New Roman" w:hAnsi="Times New Roman"/>
          <w:b/>
          <w:sz w:val="20"/>
          <w:szCs w:val="20"/>
        </w:rPr>
        <w:t>Wykres nr</w:t>
      </w:r>
      <w:r w:rsidR="0020324F" w:rsidRPr="00192F66">
        <w:rPr>
          <w:rFonts w:ascii="Times New Roman" w:hAnsi="Times New Roman"/>
          <w:b/>
          <w:sz w:val="20"/>
          <w:szCs w:val="20"/>
        </w:rPr>
        <w:t xml:space="preserve"> 3</w:t>
      </w:r>
      <w:r w:rsidR="0057252D" w:rsidRPr="00192F66">
        <w:rPr>
          <w:rFonts w:ascii="Times New Roman" w:hAnsi="Times New Roman"/>
          <w:b/>
          <w:sz w:val="20"/>
          <w:szCs w:val="20"/>
        </w:rPr>
        <w:t>4</w:t>
      </w:r>
      <w:r w:rsidRPr="00192F66">
        <w:rPr>
          <w:rFonts w:ascii="Times New Roman" w:hAnsi="Times New Roman"/>
          <w:sz w:val="20"/>
          <w:szCs w:val="20"/>
        </w:rPr>
        <w:t xml:space="preserve"> </w:t>
      </w:r>
      <w:r w:rsidRPr="00192F66">
        <w:rPr>
          <w:rFonts w:ascii="Times New Roman" w:hAnsi="Times New Roman"/>
          <w:i/>
          <w:sz w:val="20"/>
          <w:szCs w:val="20"/>
        </w:rPr>
        <w:t>Projekty w podziale na sekcje PKD w subregionie Centralnym</w:t>
      </w:r>
    </w:p>
    <w:p w:rsidR="00192F66" w:rsidRPr="00192F66" w:rsidRDefault="00192F66" w:rsidP="004564DF">
      <w:pPr>
        <w:tabs>
          <w:tab w:val="left" w:pos="2835"/>
        </w:tabs>
        <w:spacing w:before="120" w:after="60"/>
        <w:jc w:val="both"/>
        <w:rPr>
          <w:rFonts w:ascii="Times New Roman" w:hAnsi="Times New Roman"/>
          <w:sz w:val="20"/>
          <w:szCs w:val="20"/>
        </w:rPr>
      </w:pPr>
    </w:p>
    <w:p w:rsidR="00303221" w:rsidRPr="00192F66" w:rsidRDefault="00192F66" w:rsidP="00192F66">
      <w:pPr>
        <w:tabs>
          <w:tab w:val="left" w:pos="2835"/>
        </w:tabs>
        <w:spacing w:before="120" w:after="60"/>
        <w:jc w:val="both"/>
        <w:rPr>
          <w:rFonts w:ascii="Times New Roman" w:hAnsi="Times New Roman"/>
          <w:i/>
          <w:sz w:val="20"/>
          <w:szCs w:val="20"/>
        </w:rPr>
      </w:pPr>
      <w:r w:rsidRPr="00192F66">
        <w:rPr>
          <w:rFonts w:ascii="Times New Roman" w:hAnsi="Times New Roman"/>
          <w:b/>
          <w:i/>
          <w:sz w:val="20"/>
          <w:szCs w:val="20"/>
        </w:rPr>
        <w:t>Tabela nr 5</w:t>
      </w:r>
      <w:r w:rsidRPr="00192F66">
        <w:rPr>
          <w:rFonts w:ascii="Times New Roman" w:hAnsi="Times New Roman"/>
          <w:i/>
          <w:sz w:val="20"/>
          <w:szCs w:val="20"/>
        </w:rPr>
        <w:t xml:space="preserve"> Projekty w podziale na sekcje PKD w subregionie Południowym</w:t>
      </w:r>
    </w:p>
    <w:tbl>
      <w:tblPr>
        <w:tblW w:w="13989" w:type="dxa"/>
        <w:jc w:val="center"/>
        <w:tblInd w:w="380" w:type="dxa"/>
        <w:tblCellMar>
          <w:left w:w="70" w:type="dxa"/>
          <w:right w:w="70" w:type="dxa"/>
        </w:tblCellMar>
        <w:tblLook w:val="04A0"/>
      </w:tblPr>
      <w:tblGrid>
        <w:gridCol w:w="7380"/>
        <w:gridCol w:w="2552"/>
        <w:gridCol w:w="2303"/>
        <w:gridCol w:w="1754"/>
      </w:tblGrid>
      <w:tr w:rsidR="00FC7536" w:rsidRPr="00192F66" w:rsidTr="00191026">
        <w:trPr>
          <w:trHeight w:val="315"/>
          <w:jc w:val="center"/>
        </w:trPr>
        <w:tc>
          <w:tcPr>
            <w:tcW w:w="73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</w:t>
            </w:r>
          </w:p>
        </w:tc>
        <w:tc>
          <w:tcPr>
            <w:tcW w:w="66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Południowy</w:t>
            </w:r>
          </w:p>
        </w:tc>
      </w:tr>
      <w:tr w:rsidR="00FC7536" w:rsidRPr="00192F66" w:rsidTr="00191026">
        <w:trPr>
          <w:trHeight w:val="300"/>
          <w:jc w:val="center"/>
        </w:trPr>
        <w:tc>
          <w:tcPr>
            <w:tcW w:w="73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Wartość projektów </w:t>
            </w:r>
            <w:r w:rsidR="00191026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br/>
            </w: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(EUR)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Dofinansowanie </w:t>
            </w:r>
            <w:r w:rsidR="00191026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br/>
            </w: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(EUR)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19102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FC7536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FC7536" w:rsidRPr="00192F66" w:rsidTr="00191026">
        <w:trPr>
          <w:trHeight w:val="360"/>
          <w:jc w:val="center"/>
        </w:trPr>
        <w:tc>
          <w:tcPr>
            <w:tcW w:w="7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C Przetwórstwo przemysłowe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48 077 640,83 EUR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18 403 045,94 EUR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237</w:t>
            </w:r>
          </w:p>
        </w:tc>
      </w:tr>
      <w:tr w:rsidR="00FC7536" w:rsidRPr="00192F66" w:rsidTr="00191026">
        <w:trPr>
          <w:trHeight w:val="345"/>
          <w:jc w:val="center"/>
        </w:trPr>
        <w:tc>
          <w:tcPr>
            <w:tcW w:w="7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I Działalność związana z zakwaterowaniem i usługami gastronomicznymi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14 153 541,42 EUR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5 381 094,99 EUR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46</w:t>
            </w:r>
          </w:p>
        </w:tc>
      </w:tr>
      <w:tr w:rsidR="00FC7536" w:rsidRPr="00192F66" w:rsidTr="00191026">
        <w:trPr>
          <w:trHeight w:val="300"/>
          <w:jc w:val="center"/>
        </w:trPr>
        <w:tc>
          <w:tcPr>
            <w:tcW w:w="7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Pozostałe sekcje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8 029 895,39 EUR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3 293 764,47 EUR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43</w:t>
            </w:r>
          </w:p>
        </w:tc>
      </w:tr>
      <w:tr w:rsidR="00FC7536" w:rsidRPr="00192F66" w:rsidTr="00191026">
        <w:trPr>
          <w:trHeight w:val="330"/>
          <w:jc w:val="center"/>
        </w:trPr>
        <w:tc>
          <w:tcPr>
            <w:tcW w:w="7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R Działalność związana z kulturą, rozrywką i rekreacją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7 373 738,55 EUR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1 898 846,69 EUR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19</w:t>
            </w:r>
          </w:p>
        </w:tc>
      </w:tr>
      <w:tr w:rsidR="00FC7536" w:rsidRPr="00192F66" w:rsidTr="00191026">
        <w:trPr>
          <w:trHeight w:val="555"/>
          <w:jc w:val="center"/>
        </w:trPr>
        <w:tc>
          <w:tcPr>
            <w:tcW w:w="7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G handel hurtowy i detaliczny; naprawa pojazdów samochodowych, wyłączając motocykle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4 984 488,07 EUR</w:t>
            </w:r>
          </w:p>
        </w:tc>
        <w:tc>
          <w:tcPr>
            <w:tcW w:w="23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1 898 583,52 EUR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46</w:t>
            </w:r>
          </w:p>
        </w:tc>
      </w:tr>
      <w:tr w:rsidR="00FC7536" w:rsidRPr="00192F66" w:rsidTr="00191026">
        <w:trPr>
          <w:trHeight w:val="330"/>
          <w:jc w:val="center"/>
        </w:trPr>
        <w:tc>
          <w:tcPr>
            <w:tcW w:w="7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Q Opieka zdrowotna i pomoc społeczna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2 330 644,36 EUR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1 253 915,83 EUR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19</w:t>
            </w:r>
          </w:p>
        </w:tc>
      </w:tr>
      <w:tr w:rsidR="00FC7536" w:rsidRPr="00192F66" w:rsidTr="00191026">
        <w:trPr>
          <w:trHeight w:val="300"/>
          <w:jc w:val="center"/>
        </w:trPr>
        <w:tc>
          <w:tcPr>
            <w:tcW w:w="7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F Budownictwo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3 438 032,74 EUR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1 223 512,66 EUR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19</w:t>
            </w:r>
          </w:p>
        </w:tc>
      </w:tr>
      <w:tr w:rsidR="00FC7536" w:rsidRPr="00192F66" w:rsidTr="00191026">
        <w:trPr>
          <w:trHeight w:val="390"/>
          <w:jc w:val="center"/>
        </w:trPr>
        <w:tc>
          <w:tcPr>
            <w:tcW w:w="7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M Działalność profesjonalna, naukowa i techniczna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1 047 248,85 EUR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468 273,03 EUR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22</w:t>
            </w:r>
          </w:p>
        </w:tc>
      </w:tr>
      <w:tr w:rsidR="00FC7536" w:rsidRPr="00192F66" w:rsidTr="00191026">
        <w:trPr>
          <w:trHeight w:val="315"/>
          <w:jc w:val="center"/>
        </w:trPr>
        <w:tc>
          <w:tcPr>
            <w:tcW w:w="7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J Informacja i komunikacja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934 112,52 EUR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334 015,51 EUR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11</w:t>
            </w:r>
          </w:p>
        </w:tc>
      </w:tr>
      <w:tr w:rsidR="00FC7536" w:rsidRPr="00192F66" w:rsidTr="00191026">
        <w:trPr>
          <w:trHeight w:val="300"/>
          <w:jc w:val="center"/>
        </w:trPr>
        <w:tc>
          <w:tcPr>
            <w:tcW w:w="7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90 369 342,74 EUR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34 155 052,64 EUR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536" w:rsidRPr="00192F66" w:rsidRDefault="00FC753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462</w:t>
            </w:r>
          </w:p>
        </w:tc>
      </w:tr>
    </w:tbl>
    <w:p w:rsidR="007747A4" w:rsidRPr="004564DF" w:rsidRDefault="007747A4" w:rsidP="004564DF">
      <w:pPr>
        <w:tabs>
          <w:tab w:val="left" w:pos="2835"/>
          <w:tab w:val="left" w:pos="12191"/>
          <w:tab w:val="left" w:pos="12333"/>
        </w:tabs>
        <w:jc w:val="both"/>
        <w:rPr>
          <w:rFonts w:ascii="Times New Roman" w:hAnsi="Times New Roman"/>
          <w:sz w:val="24"/>
          <w:szCs w:val="24"/>
        </w:rPr>
      </w:pPr>
    </w:p>
    <w:p w:rsidR="001B5122" w:rsidRPr="004564DF" w:rsidRDefault="001F1F47" w:rsidP="00192F66">
      <w:pPr>
        <w:tabs>
          <w:tab w:val="left" w:pos="2835"/>
          <w:tab w:val="left" w:pos="12191"/>
          <w:tab w:val="left" w:pos="12333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8907145" cy="2573020"/>
            <wp:effectExtent l="0" t="0" r="0" b="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7145" cy="257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5122" w:rsidRPr="00192F66" w:rsidRDefault="001B5122" w:rsidP="004564DF">
      <w:pPr>
        <w:tabs>
          <w:tab w:val="left" w:pos="2835"/>
        </w:tabs>
        <w:spacing w:after="60"/>
        <w:jc w:val="both"/>
        <w:rPr>
          <w:rFonts w:ascii="Times New Roman" w:hAnsi="Times New Roman"/>
          <w:i/>
          <w:sz w:val="20"/>
          <w:szCs w:val="20"/>
        </w:rPr>
      </w:pPr>
      <w:r w:rsidRPr="00192F66">
        <w:rPr>
          <w:rFonts w:ascii="Times New Roman" w:hAnsi="Times New Roman"/>
          <w:b/>
          <w:sz w:val="20"/>
          <w:szCs w:val="20"/>
        </w:rPr>
        <w:t>Wykres nr 3</w:t>
      </w:r>
      <w:r w:rsidR="0057252D" w:rsidRPr="00192F66">
        <w:rPr>
          <w:rFonts w:ascii="Times New Roman" w:hAnsi="Times New Roman"/>
          <w:b/>
          <w:sz w:val="20"/>
          <w:szCs w:val="20"/>
        </w:rPr>
        <w:t>5</w:t>
      </w:r>
      <w:r w:rsidRPr="00192F66">
        <w:rPr>
          <w:rFonts w:ascii="Times New Roman" w:hAnsi="Times New Roman"/>
          <w:sz w:val="20"/>
          <w:szCs w:val="20"/>
        </w:rPr>
        <w:t xml:space="preserve"> </w:t>
      </w:r>
      <w:r w:rsidRPr="00192F66">
        <w:rPr>
          <w:rFonts w:ascii="Times New Roman" w:hAnsi="Times New Roman"/>
          <w:i/>
          <w:sz w:val="20"/>
          <w:szCs w:val="20"/>
        </w:rPr>
        <w:t>Projekty w podziale na sekcje PKD w subregionie Południowym</w:t>
      </w:r>
    </w:p>
    <w:p w:rsidR="001F1F47" w:rsidRDefault="001F1F47" w:rsidP="00192F66">
      <w:pPr>
        <w:tabs>
          <w:tab w:val="left" w:pos="2835"/>
        </w:tabs>
        <w:spacing w:before="120" w:after="60"/>
        <w:jc w:val="both"/>
        <w:rPr>
          <w:rFonts w:ascii="Times New Roman" w:hAnsi="Times New Roman"/>
          <w:b/>
          <w:sz w:val="20"/>
          <w:szCs w:val="20"/>
        </w:rPr>
      </w:pPr>
    </w:p>
    <w:p w:rsidR="00A46275" w:rsidRPr="00192F66" w:rsidRDefault="00192F66" w:rsidP="00192F66">
      <w:pPr>
        <w:tabs>
          <w:tab w:val="left" w:pos="2835"/>
        </w:tabs>
        <w:spacing w:before="120" w:after="60"/>
        <w:jc w:val="both"/>
        <w:rPr>
          <w:rFonts w:ascii="Times New Roman" w:hAnsi="Times New Roman"/>
          <w:sz w:val="20"/>
          <w:szCs w:val="20"/>
        </w:rPr>
      </w:pPr>
      <w:r w:rsidRPr="00192F66">
        <w:rPr>
          <w:rFonts w:ascii="Times New Roman" w:hAnsi="Times New Roman"/>
          <w:b/>
          <w:sz w:val="20"/>
          <w:szCs w:val="20"/>
        </w:rPr>
        <w:t>Tabela nr 6</w:t>
      </w:r>
      <w:r w:rsidRPr="00192F66">
        <w:rPr>
          <w:rFonts w:ascii="Times New Roman" w:hAnsi="Times New Roman"/>
          <w:sz w:val="20"/>
          <w:szCs w:val="20"/>
        </w:rPr>
        <w:t xml:space="preserve"> </w:t>
      </w:r>
      <w:r w:rsidRPr="00192F66">
        <w:rPr>
          <w:rFonts w:ascii="Times New Roman" w:hAnsi="Times New Roman"/>
          <w:i/>
          <w:sz w:val="20"/>
          <w:szCs w:val="20"/>
        </w:rPr>
        <w:t>Projekty w podziale na sekcje PKD w subregionie Północnym</w:t>
      </w:r>
    </w:p>
    <w:tbl>
      <w:tblPr>
        <w:tblW w:w="13986" w:type="dxa"/>
        <w:jc w:val="center"/>
        <w:tblInd w:w="-71" w:type="dxa"/>
        <w:tblCellMar>
          <w:left w:w="70" w:type="dxa"/>
          <w:right w:w="70" w:type="dxa"/>
        </w:tblCellMar>
        <w:tblLook w:val="04A0"/>
      </w:tblPr>
      <w:tblGrid>
        <w:gridCol w:w="7465"/>
        <w:gridCol w:w="2499"/>
        <w:gridCol w:w="2321"/>
        <w:gridCol w:w="1701"/>
      </w:tblGrid>
      <w:tr w:rsidR="00844C94" w:rsidRPr="00192F66" w:rsidTr="00191026">
        <w:trPr>
          <w:trHeight w:val="315"/>
          <w:jc w:val="center"/>
        </w:trPr>
        <w:tc>
          <w:tcPr>
            <w:tcW w:w="74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</w:t>
            </w:r>
          </w:p>
        </w:tc>
        <w:tc>
          <w:tcPr>
            <w:tcW w:w="65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Północny</w:t>
            </w:r>
          </w:p>
        </w:tc>
      </w:tr>
      <w:tr w:rsidR="00844C94" w:rsidRPr="00192F66" w:rsidTr="00191026">
        <w:trPr>
          <w:trHeight w:val="300"/>
          <w:jc w:val="center"/>
        </w:trPr>
        <w:tc>
          <w:tcPr>
            <w:tcW w:w="74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Wartość projektów </w:t>
            </w:r>
            <w:r w:rsidR="00191026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br/>
            </w: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(EUR)</w:t>
            </w:r>
          </w:p>
        </w:tc>
        <w:tc>
          <w:tcPr>
            <w:tcW w:w="2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Dofinansowanie </w:t>
            </w:r>
            <w:r w:rsidR="00191026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br/>
            </w: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(EUR)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19102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844C94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844C94" w:rsidRPr="00192F66" w:rsidTr="00191026">
        <w:trPr>
          <w:trHeight w:val="390"/>
          <w:jc w:val="center"/>
        </w:trPr>
        <w:tc>
          <w:tcPr>
            <w:tcW w:w="7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C Przetwórstwo przemysłowe</w:t>
            </w:r>
          </w:p>
        </w:tc>
        <w:tc>
          <w:tcPr>
            <w:tcW w:w="2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24 133 400,97 EUR</w:t>
            </w:r>
          </w:p>
        </w:tc>
        <w:tc>
          <w:tcPr>
            <w:tcW w:w="2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9 852 358,29 EUR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229</w:t>
            </w:r>
          </w:p>
        </w:tc>
      </w:tr>
      <w:tr w:rsidR="00844C94" w:rsidRPr="00192F66" w:rsidTr="00191026">
        <w:trPr>
          <w:trHeight w:val="345"/>
          <w:jc w:val="center"/>
        </w:trPr>
        <w:tc>
          <w:tcPr>
            <w:tcW w:w="7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R Działalność związana z kulturą, rozrywką i rekreacją</w:t>
            </w:r>
          </w:p>
        </w:tc>
        <w:tc>
          <w:tcPr>
            <w:tcW w:w="2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4 270 001,44 EUR</w:t>
            </w:r>
          </w:p>
        </w:tc>
        <w:tc>
          <w:tcPr>
            <w:tcW w:w="2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1 467 171,85 EUR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11</w:t>
            </w:r>
          </w:p>
        </w:tc>
      </w:tr>
      <w:tr w:rsidR="00844C94" w:rsidRPr="00192F66" w:rsidTr="00191026">
        <w:trPr>
          <w:trHeight w:val="390"/>
          <w:jc w:val="center"/>
        </w:trPr>
        <w:tc>
          <w:tcPr>
            <w:tcW w:w="7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I Działalność związana z zakwaterowaniem i usługami gastronomicznymi</w:t>
            </w:r>
          </w:p>
        </w:tc>
        <w:tc>
          <w:tcPr>
            <w:tcW w:w="2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3 513 037,98 EUR</w:t>
            </w:r>
          </w:p>
        </w:tc>
        <w:tc>
          <w:tcPr>
            <w:tcW w:w="2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1 303 837,64 EUR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14</w:t>
            </w:r>
          </w:p>
        </w:tc>
      </w:tr>
      <w:tr w:rsidR="00844C94" w:rsidRPr="00192F66" w:rsidTr="00191026">
        <w:trPr>
          <w:trHeight w:val="330"/>
          <w:jc w:val="center"/>
        </w:trPr>
        <w:tc>
          <w:tcPr>
            <w:tcW w:w="7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Q Opieka zdrowotna i pomoc społeczna</w:t>
            </w:r>
          </w:p>
        </w:tc>
        <w:tc>
          <w:tcPr>
            <w:tcW w:w="2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1 892 130,22 EUR</w:t>
            </w:r>
          </w:p>
        </w:tc>
        <w:tc>
          <w:tcPr>
            <w:tcW w:w="2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1 016 070,29 EUR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18</w:t>
            </w:r>
          </w:p>
        </w:tc>
      </w:tr>
      <w:tr w:rsidR="00844C94" w:rsidRPr="00192F66" w:rsidTr="00191026">
        <w:trPr>
          <w:trHeight w:val="315"/>
          <w:jc w:val="center"/>
        </w:trPr>
        <w:tc>
          <w:tcPr>
            <w:tcW w:w="7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F Budownictwo</w:t>
            </w:r>
          </w:p>
        </w:tc>
        <w:tc>
          <w:tcPr>
            <w:tcW w:w="2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2 568 018,66 EUR</w:t>
            </w:r>
          </w:p>
        </w:tc>
        <w:tc>
          <w:tcPr>
            <w:tcW w:w="2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1 013 583,68 EUR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15</w:t>
            </w:r>
          </w:p>
        </w:tc>
      </w:tr>
      <w:tr w:rsidR="00844C94" w:rsidRPr="00192F66" w:rsidTr="00191026">
        <w:trPr>
          <w:trHeight w:val="285"/>
          <w:jc w:val="center"/>
        </w:trPr>
        <w:tc>
          <w:tcPr>
            <w:tcW w:w="7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Pozostałe sekcje</w:t>
            </w:r>
          </w:p>
        </w:tc>
        <w:tc>
          <w:tcPr>
            <w:tcW w:w="2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2 276 927,33 EUR</w:t>
            </w:r>
          </w:p>
        </w:tc>
        <w:tc>
          <w:tcPr>
            <w:tcW w:w="2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875 908,58 EUR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12</w:t>
            </w:r>
          </w:p>
        </w:tc>
      </w:tr>
      <w:tr w:rsidR="00844C94" w:rsidRPr="00192F66" w:rsidTr="00191026">
        <w:trPr>
          <w:trHeight w:val="585"/>
          <w:jc w:val="center"/>
        </w:trPr>
        <w:tc>
          <w:tcPr>
            <w:tcW w:w="7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G handel hurtowy i detaliczny; naprawa pojazdów samochodowych, wyłączając motocykle</w:t>
            </w:r>
          </w:p>
        </w:tc>
        <w:tc>
          <w:tcPr>
            <w:tcW w:w="2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1 852 285,74 EUR</w:t>
            </w:r>
          </w:p>
        </w:tc>
        <w:tc>
          <w:tcPr>
            <w:tcW w:w="2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786 381,64 EUR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21</w:t>
            </w:r>
          </w:p>
        </w:tc>
      </w:tr>
      <w:tr w:rsidR="00844C94" w:rsidRPr="00192F66" w:rsidTr="00191026">
        <w:trPr>
          <w:trHeight w:val="345"/>
          <w:jc w:val="center"/>
        </w:trPr>
        <w:tc>
          <w:tcPr>
            <w:tcW w:w="7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M Działalność profesjonalna, naukowa i techniczna</w:t>
            </w:r>
          </w:p>
        </w:tc>
        <w:tc>
          <w:tcPr>
            <w:tcW w:w="2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689 561,95 EUR</w:t>
            </w:r>
          </w:p>
        </w:tc>
        <w:tc>
          <w:tcPr>
            <w:tcW w:w="2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330 998,03 EUR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10</w:t>
            </w:r>
          </w:p>
        </w:tc>
      </w:tr>
      <w:tr w:rsidR="00844C94" w:rsidRPr="00192F66" w:rsidTr="00191026">
        <w:trPr>
          <w:trHeight w:val="330"/>
          <w:jc w:val="center"/>
        </w:trPr>
        <w:tc>
          <w:tcPr>
            <w:tcW w:w="7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J Informacja i komunikacja</w:t>
            </w:r>
          </w:p>
        </w:tc>
        <w:tc>
          <w:tcPr>
            <w:tcW w:w="2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217 154,19 EUR</w:t>
            </w:r>
          </w:p>
        </w:tc>
        <w:tc>
          <w:tcPr>
            <w:tcW w:w="2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101 390,61 EUR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3</w:t>
            </w:r>
          </w:p>
        </w:tc>
      </w:tr>
      <w:tr w:rsidR="00844C94" w:rsidRPr="00192F66" w:rsidTr="00191026">
        <w:trPr>
          <w:trHeight w:val="300"/>
          <w:jc w:val="center"/>
        </w:trPr>
        <w:tc>
          <w:tcPr>
            <w:tcW w:w="7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2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41 412 518,47 EUR</w:t>
            </w:r>
          </w:p>
        </w:tc>
        <w:tc>
          <w:tcPr>
            <w:tcW w:w="2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16 747 700,62 EUR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333</w:t>
            </w:r>
          </w:p>
        </w:tc>
      </w:tr>
    </w:tbl>
    <w:p w:rsidR="007747A4" w:rsidRDefault="007747A4" w:rsidP="004564DF">
      <w:pPr>
        <w:tabs>
          <w:tab w:val="left" w:pos="2835"/>
        </w:tabs>
        <w:ind w:left="426"/>
        <w:jc w:val="both"/>
        <w:rPr>
          <w:rFonts w:ascii="Times New Roman" w:hAnsi="Times New Roman"/>
          <w:sz w:val="24"/>
          <w:szCs w:val="24"/>
        </w:rPr>
      </w:pPr>
    </w:p>
    <w:p w:rsidR="001F1F47" w:rsidRPr="004564DF" w:rsidRDefault="001F1F47" w:rsidP="001F1F47">
      <w:pPr>
        <w:tabs>
          <w:tab w:val="left" w:pos="2835"/>
        </w:tabs>
        <w:ind w:left="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8372475" cy="2495550"/>
            <wp:effectExtent l="0" t="0" r="0" b="0"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5258" cy="249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44C94" w:rsidRDefault="001B5122" w:rsidP="004564DF">
      <w:pPr>
        <w:tabs>
          <w:tab w:val="left" w:pos="2835"/>
        </w:tabs>
        <w:jc w:val="both"/>
        <w:rPr>
          <w:rFonts w:ascii="Times New Roman" w:hAnsi="Times New Roman"/>
          <w:i/>
          <w:sz w:val="20"/>
          <w:szCs w:val="20"/>
        </w:rPr>
      </w:pPr>
      <w:r w:rsidRPr="00192F66">
        <w:rPr>
          <w:rFonts w:ascii="Times New Roman" w:hAnsi="Times New Roman"/>
          <w:b/>
          <w:sz w:val="20"/>
          <w:szCs w:val="20"/>
        </w:rPr>
        <w:t xml:space="preserve">Wykres nr </w:t>
      </w:r>
      <w:r w:rsidR="0020324F" w:rsidRPr="00192F66">
        <w:rPr>
          <w:rFonts w:ascii="Times New Roman" w:hAnsi="Times New Roman"/>
          <w:b/>
          <w:sz w:val="20"/>
          <w:szCs w:val="20"/>
        </w:rPr>
        <w:t>3</w:t>
      </w:r>
      <w:r w:rsidR="0057252D" w:rsidRPr="00192F66">
        <w:rPr>
          <w:rFonts w:ascii="Times New Roman" w:hAnsi="Times New Roman"/>
          <w:b/>
          <w:sz w:val="20"/>
          <w:szCs w:val="20"/>
        </w:rPr>
        <w:t>6</w:t>
      </w:r>
      <w:r w:rsidRPr="00192F66">
        <w:rPr>
          <w:rFonts w:ascii="Times New Roman" w:hAnsi="Times New Roman"/>
          <w:i/>
          <w:sz w:val="20"/>
          <w:szCs w:val="20"/>
        </w:rPr>
        <w:t xml:space="preserve"> Projekty w podziale na sekcje PKD w subregionie Północnym</w:t>
      </w:r>
    </w:p>
    <w:p w:rsidR="00192F66" w:rsidRDefault="00192F66" w:rsidP="00192F66">
      <w:pPr>
        <w:tabs>
          <w:tab w:val="left" w:pos="2835"/>
        </w:tabs>
        <w:spacing w:before="120" w:after="60"/>
        <w:jc w:val="both"/>
        <w:rPr>
          <w:rFonts w:ascii="Times New Roman" w:hAnsi="Times New Roman"/>
          <w:b/>
          <w:sz w:val="20"/>
          <w:szCs w:val="20"/>
        </w:rPr>
      </w:pPr>
    </w:p>
    <w:p w:rsidR="00192F66" w:rsidRPr="00192F66" w:rsidRDefault="00192F66" w:rsidP="00192F66">
      <w:pPr>
        <w:tabs>
          <w:tab w:val="left" w:pos="2835"/>
        </w:tabs>
        <w:spacing w:before="120" w:after="60"/>
        <w:jc w:val="both"/>
        <w:rPr>
          <w:rFonts w:ascii="Times New Roman" w:hAnsi="Times New Roman"/>
          <w:sz w:val="20"/>
          <w:szCs w:val="20"/>
        </w:rPr>
      </w:pPr>
      <w:r w:rsidRPr="00192F66">
        <w:rPr>
          <w:rFonts w:ascii="Times New Roman" w:hAnsi="Times New Roman"/>
          <w:b/>
          <w:sz w:val="20"/>
          <w:szCs w:val="20"/>
        </w:rPr>
        <w:t>Tabela nr 7</w:t>
      </w:r>
      <w:r w:rsidRPr="00192F66">
        <w:rPr>
          <w:rFonts w:ascii="Times New Roman" w:hAnsi="Times New Roman"/>
          <w:sz w:val="20"/>
          <w:szCs w:val="20"/>
        </w:rPr>
        <w:t xml:space="preserve"> </w:t>
      </w:r>
      <w:r w:rsidRPr="00192F66">
        <w:rPr>
          <w:rFonts w:ascii="Times New Roman" w:hAnsi="Times New Roman"/>
          <w:i/>
          <w:sz w:val="20"/>
          <w:szCs w:val="20"/>
        </w:rPr>
        <w:t>Projekty w podziale na sekcje PKD w subregionie Zachodnim</w:t>
      </w:r>
    </w:p>
    <w:tbl>
      <w:tblPr>
        <w:tblW w:w="14035" w:type="dxa"/>
        <w:jc w:val="center"/>
        <w:tblInd w:w="260" w:type="dxa"/>
        <w:tblCellMar>
          <w:left w:w="70" w:type="dxa"/>
          <w:right w:w="70" w:type="dxa"/>
        </w:tblCellMar>
        <w:tblLook w:val="04A0"/>
      </w:tblPr>
      <w:tblGrid>
        <w:gridCol w:w="7513"/>
        <w:gridCol w:w="2552"/>
        <w:gridCol w:w="2268"/>
        <w:gridCol w:w="1702"/>
      </w:tblGrid>
      <w:tr w:rsidR="00844C94" w:rsidRPr="00192F66" w:rsidTr="00832D5E">
        <w:trPr>
          <w:trHeight w:val="315"/>
          <w:jc w:val="center"/>
        </w:trPr>
        <w:tc>
          <w:tcPr>
            <w:tcW w:w="75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</w:t>
            </w:r>
          </w:p>
        </w:tc>
        <w:tc>
          <w:tcPr>
            <w:tcW w:w="652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Zachodni</w:t>
            </w:r>
          </w:p>
        </w:tc>
      </w:tr>
      <w:tr w:rsidR="00844C94" w:rsidRPr="00192F66" w:rsidTr="00832D5E">
        <w:trPr>
          <w:trHeight w:val="377"/>
          <w:jc w:val="center"/>
        </w:trPr>
        <w:tc>
          <w:tcPr>
            <w:tcW w:w="75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Wartość projektów </w:t>
            </w:r>
            <w:r w:rsidR="00191026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br/>
            </w: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(EUR)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Dofinansowanie </w:t>
            </w:r>
            <w:r w:rsidR="00191026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br/>
            </w: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(EUR)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19102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844C94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844C94" w:rsidRPr="00192F66" w:rsidTr="00832D5E">
        <w:trPr>
          <w:trHeight w:val="375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C Przetwórstwo przemysłowe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17 842 330,99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7 324 107,75 EUR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146</w:t>
            </w:r>
          </w:p>
        </w:tc>
      </w:tr>
      <w:tr w:rsidR="00844C94" w:rsidRPr="00192F66" w:rsidTr="00832D5E">
        <w:trPr>
          <w:trHeight w:val="375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I Działalność związana z zakwaterowaniem i usługami gastronomicznymi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7 185 441,05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2 615 693,08 EUR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23</w:t>
            </w:r>
          </w:p>
        </w:tc>
      </w:tr>
      <w:tr w:rsidR="00844C94" w:rsidRPr="00192F66" w:rsidTr="00832D5E">
        <w:trPr>
          <w:trHeight w:val="345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Pozostałe sekcje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2 338 071,95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958 147,80 EUR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13</w:t>
            </w:r>
          </w:p>
        </w:tc>
      </w:tr>
      <w:tr w:rsidR="00844C94" w:rsidRPr="00192F66" w:rsidTr="00832D5E">
        <w:trPr>
          <w:trHeight w:val="330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M Działalność profesjonalna, naukowa i techniczna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2 197 129,74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933 032,73 EUR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20</w:t>
            </w:r>
          </w:p>
        </w:tc>
      </w:tr>
      <w:tr w:rsidR="00844C94" w:rsidRPr="00192F66" w:rsidTr="00832D5E">
        <w:trPr>
          <w:trHeight w:val="555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G handel hurtowy i detaliczny; naprawa pojazdów samochodowych, wyłączając motocykle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2 682 044,17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886 287,86 EUR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24</w:t>
            </w:r>
          </w:p>
        </w:tc>
      </w:tr>
      <w:tr w:rsidR="00844C94" w:rsidRPr="00192F66" w:rsidTr="00832D5E">
        <w:trPr>
          <w:trHeight w:val="375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R Działalność związana z kulturą, rozrywką i rekreacją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1 726 780,26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776 838,21 EUR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</w:t>
            </w:r>
          </w:p>
        </w:tc>
      </w:tr>
      <w:tr w:rsidR="00844C94" w:rsidRPr="00192F66" w:rsidTr="00832D5E">
        <w:trPr>
          <w:trHeight w:val="360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F Budownictwo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1 610 518,96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708 547,16 EUR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10</w:t>
            </w:r>
          </w:p>
        </w:tc>
      </w:tr>
      <w:tr w:rsidR="00844C94" w:rsidRPr="00192F66" w:rsidTr="00832D5E">
        <w:trPr>
          <w:trHeight w:val="405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Q Opieka zdrowotna i pomoc społeczna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1 028 419,39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534 155,90 EUR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14</w:t>
            </w:r>
          </w:p>
        </w:tc>
      </w:tr>
      <w:tr w:rsidR="00844C94" w:rsidRPr="00192F66" w:rsidTr="00832D5E">
        <w:trPr>
          <w:trHeight w:val="375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J Informacja i komunikacja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599 917,83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280 201,92 EUR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</w:t>
            </w:r>
          </w:p>
        </w:tc>
      </w:tr>
      <w:tr w:rsidR="00844C94" w:rsidRPr="00192F66" w:rsidTr="00832D5E">
        <w:trPr>
          <w:trHeight w:val="300"/>
          <w:jc w:val="center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37 210 654,34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15 017 012,39 EUR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C94" w:rsidRPr="00192F66" w:rsidRDefault="00844C94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264</w:t>
            </w:r>
          </w:p>
        </w:tc>
      </w:tr>
    </w:tbl>
    <w:p w:rsidR="00844C94" w:rsidRPr="004564DF" w:rsidRDefault="00844C94" w:rsidP="004564DF">
      <w:pPr>
        <w:tabs>
          <w:tab w:val="left" w:pos="2835"/>
        </w:tabs>
        <w:spacing w:before="120" w:after="60"/>
        <w:jc w:val="both"/>
        <w:rPr>
          <w:rFonts w:ascii="Times New Roman" w:hAnsi="Times New Roman"/>
          <w:sz w:val="24"/>
          <w:szCs w:val="24"/>
        </w:rPr>
      </w:pPr>
    </w:p>
    <w:p w:rsidR="00192F66" w:rsidRDefault="001F1F47" w:rsidP="004564DF">
      <w:pPr>
        <w:tabs>
          <w:tab w:val="left" w:pos="0"/>
          <w:tab w:val="left" w:pos="2835"/>
        </w:tabs>
        <w:spacing w:before="120" w:after="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8968105" cy="2383790"/>
            <wp:effectExtent l="0" t="0" r="0" b="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8105" cy="2383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5122" w:rsidRDefault="001B5122" w:rsidP="004564DF">
      <w:pPr>
        <w:tabs>
          <w:tab w:val="left" w:pos="0"/>
          <w:tab w:val="left" w:pos="2835"/>
        </w:tabs>
        <w:spacing w:before="120" w:after="60"/>
        <w:jc w:val="both"/>
        <w:rPr>
          <w:rFonts w:ascii="Times New Roman" w:hAnsi="Times New Roman"/>
          <w:i/>
          <w:sz w:val="20"/>
          <w:szCs w:val="20"/>
        </w:rPr>
      </w:pPr>
      <w:r w:rsidRPr="00192F66">
        <w:rPr>
          <w:rFonts w:ascii="Times New Roman" w:hAnsi="Times New Roman"/>
          <w:b/>
          <w:i/>
          <w:sz w:val="20"/>
          <w:szCs w:val="20"/>
        </w:rPr>
        <w:t>Wykres nr 3</w:t>
      </w:r>
      <w:r w:rsidR="0057252D" w:rsidRPr="00192F66">
        <w:rPr>
          <w:rFonts w:ascii="Times New Roman" w:hAnsi="Times New Roman"/>
          <w:b/>
          <w:i/>
          <w:sz w:val="20"/>
          <w:szCs w:val="20"/>
        </w:rPr>
        <w:t>7</w:t>
      </w:r>
      <w:r w:rsidRPr="00192F66">
        <w:rPr>
          <w:rFonts w:ascii="Times New Roman" w:hAnsi="Times New Roman"/>
          <w:i/>
          <w:sz w:val="20"/>
          <w:szCs w:val="20"/>
        </w:rPr>
        <w:t xml:space="preserve"> Projekty w podziale na sekcje PKD w subregionie Zachodnim</w:t>
      </w:r>
    </w:p>
    <w:p w:rsidR="00192F66" w:rsidRPr="00192F66" w:rsidRDefault="00192F66" w:rsidP="00192F66">
      <w:pPr>
        <w:tabs>
          <w:tab w:val="left" w:pos="2835"/>
        </w:tabs>
        <w:spacing w:before="120" w:after="60"/>
        <w:jc w:val="both"/>
        <w:rPr>
          <w:rFonts w:ascii="Times New Roman" w:hAnsi="Times New Roman"/>
          <w:i/>
          <w:sz w:val="20"/>
          <w:szCs w:val="20"/>
        </w:rPr>
      </w:pPr>
      <w:r w:rsidRPr="00192F66">
        <w:rPr>
          <w:rFonts w:ascii="Times New Roman" w:hAnsi="Times New Roman"/>
          <w:b/>
          <w:sz w:val="20"/>
          <w:szCs w:val="20"/>
        </w:rPr>
        <w:lastRenderedPageBreak/>
        <w:t>Tabela nr 8</w:t>
      </w:r>
      <w:r w:rsidRPr="00192F66">
        <w:rPr>
          <w:rFonts w:ascii="Times New Roman" w:hAnsi="Times New Roman"/>
          <w:i/>
          <w:sz w:val="20"/>
          <w:szCs w:val="20"/>
        </w:rPr>
        <w:t xml:space="preserve"> Projekty w podziale na sekcje PKD – beneficjenci niemający siedziby w województwie śląskim.</w:t>
      </w:r>
    </w:p>
    <w:tbl>
      <w:tblPr>
        <w:tblW w:w="14186" w:type="dxa"/>
        <w:jc w:val="center"/>
        <w:tblInd w:w="-1227" w:type="dxa"/>
        <w:tblCellMar>
          <w:left w:w="70" w:type="dxa"/>
          <w:right w:w="70" w:type="dxa"/>
        </w:tblCellMar>
        <w:tblLook w:val="04A0"/>
      </w:tblPr>
      <w:tblGrid>
        <w:gridCol w:w="7503"/>
        <w:gridCol w:w="2552"/>
        <w:gridCol w:w="2268"/>
        <w:gridCol w:w="1863"/>
      </w:tblGrid>
      <w:tr w:rsidR="0030113D" w:rsidRPr="00192F66" w:rsidTr="001F1F47">
        <w:trPr>
          <w:trHeight w:val="315"/>
          <w:jc w:val="center"/>
        </w:trPr>
        <w:tc>
          <w:tcPr>
            <w:tcW w:w="75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</w:t>
            </w:r>
          </w:p>
        </w:tc>
        <w:tc>
          <w:tcPr>
            <w:tcW w:w="668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Poza woj. Śląskim</w:t>
            </w:r>
          </w:p>
        </w:tc>
      </w:tr>
      <w:tr w:rsidR="0030113D" w:rsidRPr="00192F66" w:rsidTr="001F1F47">
        <w:trPr>
          <w:trHeight w:val="300"/>
          <w:jc w:val="center"/>
        </w:trPr>
        <w:tc>
          <w:tcPr>
            <w:tcW w:w="75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Wartość projektów </w:t>
            </w:r>
            <w:r w:rsidR="00191026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br/>
              <w:t>(</w:t>
            </w: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EUR)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Dofinansowanie </w:t>
            </w:r>
            <w:r w:rsidR="00191026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br/>
            </w: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(EUR)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191026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30113D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30113D" w:rsidRPr="00192F66" w:rsidTr="001F1F47">
        <w:trPr>
          <w:trHeight w:val="340"/>
          <w:jc w:val="center"/>
        </w:trPr>
        <w:tc>
          <w:tcPr>
            <w:tcW w:w="7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C Przetwórstwo przemysłowe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1 565 523,46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632 285,69 EUR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</w:t>
            </w:r>
          </w:p>
        </w:tc>
      </w:tr>
      <w:tr w:rsidR="0030113D" w:rsidRPr="00192F66" w:rsidTr="001F1F47">
        <w:trPr>
          <w:trHeight w:val="415"/>
          <w:jc w:val="center"/>
        </w:trPr>
        <w:tc>
          <w:tcPr>
            <w:tcW w:w="7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I Działalność związana z zakwaterowaniem i usługami gastronomicznymi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2 890 822,99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1 200 952,70 EUR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11</w:t>
            </w:r>
          </w:p>
        </w:tc>
      </w:tr>
      <w:tr w:rsidR="0030113D" w:rsidRPr="00192F66" w:rsidTr="001F1F47">
        <w:trPr>
          <w:trHeight w:val="278"/>
          <w:jc w:val="center"/>
        </w:trPr>
        <w:tc>
          <w:tcPr>
            <w:tcW w:w="7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Pozostałe sekcje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2 467 156,46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992 999,16 EUR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6</w:t>
            </w:r>
          </w:p>
        </w:tc>
      </w:tr>
      <w:tr w:rsidR="0030113D" w:rsidRPr="00192F66" w:rsidTr="001F1F47">
        <w:trPr>
          <w:trHeight w:val="425"/>
          <w:jc w:val="center"/>
        </w:trPr>
        <w:tc>
          <w:tcPr>
            <w:tcW w:w="7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M Działalność profesjonalna, naukowa i techniczna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731 635,08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356 894,67 EUR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6</w:t>
            </w:r>
          </w:p>
        </w:tc>
      </w:tr>
      <w:tr w:rsidR="0030113D" w:rsidRPr="00192F66" w:rsidTr="001F1F47">
        <w:trPr>
          <w:trHeight w:val="615"/>
          <w:jc w:val="center"/>
        </w:trPr>
        <w:tc>
          <w:tcPr>
            <w:tcW w:w="7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G handel hurtowy i detaliczny; naprawa pojazdów samochodowych, wyłączając motocykle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370 216,75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150 190,39 EUR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</w:t>
            </w:r>
          </w:p>
        </w:tc>
      </w:tr>
      <w:tr w:rsidR="0030113D" w:rsidRPr="00192F66" w:rsidTr="001F1F47">
        <w:trPr>
          <w:trHeight w:val="355"/>
          <w:jc w:val="center"/>
        </w:trPr>
        <w:tc>
          <w:tcPr>
            <w:tcW w:w="7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R Działalność związana z kulturą, rozrywką i rekreacją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4 500 984,54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1 373 206,93 EUR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9</w:t>
            </w:r>
          </w:p>
        </w:tc>
      </w:tr>
      <w:tr w:rsidR="0030113D" w:rsidRPr="00192F66" w:rsidTr="001F1F47">
        <w:trPr>
          <w:trHeight w:val="274"/>
          <w:jc w:val="center"/>
        </w:trPr>
        <w:tc>
          <w:tcPr>
            <w:tcW w:w="7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F Budownictwo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514 785,08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178 887,18 EUR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</w:t>
            </w:r>
          </w:p>
        </w:tc>
      </w:tr>
      <w:tr w:rsidR="0030113D" w:rsidRPr="00192F66" w:rsidTr="001F1F47">
        <w:trPr>
          <w:trHeight w:val="405"/>
          <w:jc w:val="center"/>
        </w:trPr>
        <w:tc>
          <w:tcPr>
            <w:tcW w:w="7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Q Opieka zdrowotna i pomoc społeczna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436 999,67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213 593,92 EUR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</w:t>
            </w:r>
          </w:p>
        </w:tc>
      </w:tr>
      <w:tr w:rsidR="0030113D" w:rsidRPr="00192F66" w:rsidTr="001F1F47">
        <w:trPr>
          <w:trHeight w:val="360"/>
          <w:jc w:val="center"/>
        </w:trPr>
        <w:tc>
          <w:tcPr>
            <w:tcW w:w="7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J Informacja i komunikacja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205 803,54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101 422,62 EUR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</w:t>
            </w:r>
          </w:p>
        </w:tc>
      </w:tr>
      <w:tr w:rsidR="0030113D" w:rsidRPr="00192F66" w:rsidTr="001F1F47">
        <w:trPr>
          <w:trHeight w:val="330"/>
          <w:jc w:val="center"/>
        </w:trPr>
        <w:tc>
          <w:tcPr>
            <w:tcW w:w="7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13 683 927,58 EUR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5 200 433,27 EUR</w:t>
            </w:r>
          </w:p>
        </w:tc>
        <w:tc>
          <w:tcPr>
            <w:tcW w:w="1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113D" w:rsidRPr="00192F66" w:rsidRDefault="0030113D" w:rsidP="001F1F4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44</w:t>
            </w:r>
          </w:p>
        </w:tc>
      </w:tr>
    </w:tbl>
    <w:p w:rsidR="001F1F47" w:rsidRDefault="001F1F47" w:rsidP="004564DF">
      <w:pPr>
        <w:tabs>
          <w:tab w:val="left" w:pos="2835"/>
        </w:tabs>
        <w:spacing w:before="120" w:after="60"/>
        <w:jc w:val="both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9017000" cy="2451100"/>
            <wp:effectExtent l="0" t="0" r="0" b="0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0" cy="245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46275" w:rsidRPr="004564DF" w:rsidRDefault="00A46275" w:rsidP="004564DF">
      <w:pPr>
        <w:tabs>
          <w:tab w:val="left" w:pos="2835"/>
        </w:tabs>
        <w:spacing w:before="120" w:after="60"/>
        <w:jc w:val="both"/>
        <w:rPr>
          <w:rFonts w:ascii="Times New Roman" w:hAnsi="Times New Roman"/>
          <w:sz w:val="24"/>
          <w:szCs w:val="24"/>
        </w:rPr>
      </w:pPr>
      <w:r w:rsidRPr="00192F66">
        <w:rPr>
          <w:rFonts w:ascii="Times New Roman" w:hAnsi="Times New Roman"/>
          <w:b/>
          <w:sz w:val="20"/>
          <w:szCs w:val="20"/>
        </w:rPr>
        <w:t xml:space="preserve">Wykres nr </w:t>
      </w:r>
      <w:r w:rsidR="0020324F" w:rsidRPr="00192F66">
        <w:rPr>
          <w:rFonts w:ascii="Times New Roman" w:hAnsi="Times New Roman"/>
          <w:b/>
          <w:sz w:val="20"/>
          <w:szCs w:val="20"/>
        </w:rPr>
        <w:t>3</w:t>
      </w:r>
      <w:r w:rsidR="0057252D" w:rsidRPr="00192F66">
        <w:rPr>
          <w:rFonts w:ascii="Times New Roman" w:hAnsi="Times New Roman"/>
          <w:b/>
          <w:sz w:val="20"/>
          <w:szCs w:val="20"/>
        </w:rPr>
        <w:t>8</w:t>
      </w:r>
      <w:r w:rsidRPr="00192F66">
        <w:rPr>
          <w:rFonts w:ascii="Times New Roman" w:hAnsi="Times New Roman"/>
          <w:i/>
          <w:sz w:val="20"/>
          <w:szCs w:val="20"/>
        </w:rPr>
        <w:t xml:space="preserve"> Projekty w podziale na sekcje PKD – beneficjenci niemający siedziby w województwie śląskim</w:t>
      </w:r>
      <w:r w:rsidRPr="004564DF">
        <w:rPr>
          <w:rFonts w:ascii="Times New Roman" w:hAnsi="Times New Roman"/>
          <w:sz w:val="24"/>
          <w:szCs w:val="24"/>
        </w:rPr>
        <w:t>.</w:t>
      </w:r>
    </w:p>
    <w:p w:rsidR="007747A4" w:rsidRPr="004564DF" w:rsidRDefault="007747A4" w:rsidP="004564DF">
      <w:pPr>
        <w:tabs>
          <w:tab w:val="left" w:pos="2835"/>
        </w:tabs>
        <w:jc w:val="both"/>
        <w:rPr>
          <w:rFonts w:ascii="Times New Roman" w:hAnsi="Times New Roman"/>
          <w:sz w:val="24"/>
          <w:szCs w:val="24"/>
        </w:rPr>
        <w:sectPr w:rsidR="007747A4" w:rsidRPr="004564DF" w:rsidSect="00755478">
          <w:pgSz w:w="16838" w:h="11906" w:orient="landscape"/>
          <w:pgMar w:top="851" w:right="1418" w:bottom="568" w:left="1418" w:header="709" w:footer="283" w:gutter="0"/>
          <w:cols w:space="708"/>
          <w:titlePg/>
          <w:docGrid w:linePitch="360"/>
        </w:sectPr>
      </w:pPr>
    </w:p>
    <w:p w:rsidR="00A46275" w:rsidRPr="004564DF" w:rsidRDefault="00917559" w:rsidP="004564DF">
      <w:pPr>
        <w:pStyle w:val="Nagwek2"/>
        <w:numPr>
          <w:ilvl w:val="0"/>
          <w:numId w:val="12"/>
        </w:numPr>
        <w:ind w:left="851" w:hanging="491"/>
        <w:jc w:val="both"/>
        <w:rPr>
          <w:rFonts w:ascii="Times New Roman" w:hAnsi="Times New Roman"/>
          <w:i w:val="0"/>
          <w:noProof/>
          <w:sz w:val="24"/>
          <w:szCs w:val="24"/>
          <w:lang w:eastAsia="pl-PL"/>
        </w:rPr>
      </w:pPr>
      <w:bookmarkStart w:id="12" w:name="_Toc356809927"/>
      <w:r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lastRenderedPageBreak/>
        <w:t>Szczegółowa charakterystyka wspieranych w ramach RPO WSL sekcji PKD</w:t>
      </w:r>
      <w:bookmarkEnd w:id="12"/>
    </w:p>
    <w:p w:rsidR="00A46275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Podział projektów na poszczególne </w:t>
      </w:r>
      <w:r w:rsidR="0091755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branże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został opracowany na podstawie Polskiej Klasyfikacji Działalności z 2007 roku. W sekcji C Przetwórstwo przemysłowe największe środki finansowe trafiają </w:t>
      </w:r>
      <w:r w:rsidR="0091755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do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projekt</w:t>
      </w:r>
      <w:r w:rsidR="0091755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ów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91755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związanych z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wytwarza</w:t>
      </w:r>
      <w:r w:rsidR="0091755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niem metalowych wyrobów gotowych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z wyłączeniem maszyn i urządzeń</w:t>
      </w:r>
      <w:r w:rsidR="0091755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oraz z produkcją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maszyn. Je</w:t>
      </w:r>
      <w:r w:rsidR="0091755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śli chodzi o wielkość projektów największe realizowane są w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dziedzinie poligrafii.</w:t>
      </w:r>
    </w:p>
    <w:p w:rsidR="00A46275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Budownictwo to przede wszystkim 3 rodzaje projektów: prace budowlane specjalistyczne, prace budowlane związane ze wznoszeniem budynków oraz prace budowlane związane z budową obiektów inżynierii lądowej i morskiej. W procentowym ujęciu na</w:t>
      </w:r>
      <w:r w:rsidR="0091755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jwiększą część dofinansowania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ramach tego rodzaju działalności przeznaczono na projekty z zakresu budowy obiektów inżynierii lądowej i morskiej – 43%. </w:t>
      </w:r>
      <w:r w:rsidR="0091755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15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% wartości całego dofinansowania udzielonego tej branży przeznaczono na 19 projektów, których głównym elementem było wznoszenie budynków.</w:t>
      </w:r>
    </w:p>
    <w:p w:rsidR="00A46275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branży handlow</w:t>
      </w:r>
      <w:r w:rsidR="0091755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ej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, zdecydowanie dominuje handel hurtowy i detaliczny pojazdami samochodowymi oraz naprawa pojazdów samochodowych, który reprezentuje 207 projektów, dofinansowanych na kwotę </w:t>
      </w:r>
      <w:r w:rsidR="00FC4161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ponad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FC4161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6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mln</w:t>
      </w:r>
      <w:r w:rsidR="004154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FC4161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4154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Jeżeli chodzi o pozostałe projekty tej branży to nieznaczną przewagę nad handlem detalicznym posiada handel hurtowy, dla którego sklasyfikowano 87 projektów, co stanowi 25%.</w:t>
      </w:r>
    </w:p>
    <w:p w:rsidR="00A46275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sekcji I Działalność związana z zakwaterowaniem i usługami gastronomicznymi zostały wyróżnione dwa działy</w:t>
      </w:r>
      <w:r w:rsidR="004154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: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dotyczący zakwaterowania</w:t>
      </w:r>
      <w:r w:rsidR="004154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oraz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gastronomii. Co prawda należy brać pod uwagę, fakt iż w projektach z zakresu turystyki oba działy bardzo często występują razem</w:t>
      </w:r>
      <w:r w:rsidR="0041547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niemniej dla przedmiotowej analizy sklasyfikowano je osobno. I tak działalność dotyczącą zakwaterowania reprezentuje 113 projektów, co stanowi ponad 56% wszystkich projektów tej branży. Z kolei gastronomia powiązana jest z 86 projektami. </w:t>
      </w:r>
    </w:p>
    <w:p w:rsidR="00A46275" w:rsidRPr="004564DF" w:rsidRDefault="00EC084A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branży związanej z informacją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i komunikacją prym wiodą dwa rodzaje projektów - Działalność związana z oprogramowanie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i doradztwem w zakresie informatyki – 32 umowy o dofinansowanie, co stanowi 30%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projektów z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całej branży oraz projekty dotyczące Telekomunikacji – 47 umów o dofinansowanie, co stanowi 45%.</w:t>
      </w:r>
    </w:p>
    <w:p w:rsidR="00A46275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Wśród projektów sklasyfikowanych w sekcji M Dział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alność profesjonalna, naukowa i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techniczna, pozycję dominującą </w:t>
      </w:r>
      <w:r w:rsidR="00EC084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zajmują inwestycje powiązane z d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ziałalnoś</w:t>
      </w:r>
      <w:r w:rsidR="00EC084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cią w zakresie architektury i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inżynierii oraz badania i analizy techniczne. Ponad połowa umów (53%) w tej branży realizuje projekty w tym zakresie. Kolejny co do </w:t>
      </w:r>
      <w:r w:rsidR="00EC084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liczby realizowanych projektów dział 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eklamy i badania rynku i opinii publicznej, reprezentuje 36 inwestycji, co stanowi 23% wszystkich projektów.</w:t>
      </w:r>
    </w:p>
    <w:p w:rsidR="00A46275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Kolejna branża sklasyfikowana w sekcji Q Opieka zdrowotna i pomoc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społeczna składa się z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dwóch działów, które tworzą jej nazwę. Wśród sklasyfikowanych projektów, tylko jeden projekt związany jest z pomocą społeczną. Z kolei 196 pozostałych inwestycji, dotyczy szeroko rozumianej opieki zdrowotnej, co oczywiście nie daje w miarę czytelnego obrazu </w:t>
      </w:r>
      <w:r w:rsidR="00EC084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kierunku wsparcia udzielonego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ramach RPO WSL dla podmiotów realizujących projekty </w:t>
      </w:r>
      <w:r w:rsidR="00EC084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 zakresu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opieki zdrowotnej. W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>związku z powyższym dla celów niniejszej analizy, postanowiono wyszczególnić projekty w podziale na numery PKD. I tak działalność fizjoterapeutyczna dotyczyła 19 projektów, działalność szpitali związana była z 4 projektami, działalność dentystyczna</w:t>
      </w:r>
      <w:r w:rsidR="00793DC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najliczniej reprezentowany rodzaj projektów z zakresu opieki zdrowotnej to 91 projektów, praktyka lekarska ogólna - 36 inwestycji natomiast praktyka lekarska specjalistyczna to 40 projektów. W grupie obej</w:t>
      </w:r>
      <w:r w:rsidR="00EC084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mującej pozostałą działalność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zakresie opieki zdrowotnej gdzieindziej nieklasyfikowanej zlokalizowano 7 projektów. </w:t>
      </w:r>
    </w:p>
    <w:p w:rsidR="00A46275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Ostatnią sekcją, która sklasyfikowana jest w niniejszej anali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zie jest działalność związana z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kulturą, rozrywką i rekreacją. 3 rodzaje projektów tworzą przedmiotowy dział gospodarki. Są to: Działalność bibliotek, archiwów, muzeów oraz pozostała działalność związana z kulturą, gdzie wyszczególniono tylko 2 projekty, Działalność twórcza związana z kulturą i rozrywką – 5 projektów oraz dział który dominuje w niniejszym obszarze gospodarczym w sposób zdecydowany a mianowicie - Działalność sportowa, rozrywkowa i rekreacyjna – 92 projekty.</w:t>
      </w:r>
    </w:p>
    <w:p w:rsidR="00A46275" w:rsidRPr="004564DF" w:rsidRDefault="00A46275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Całość należy uzupełnić o wszystkie branże sklasyfikowane łącznie pod nazwą Pozostałe sekcje. Znalazło się tam 162 projekty, których łączna wartość 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dofinansowania kształtuje się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granicach </w:t>
      </w:r>
      <w:r w:rsidR="00793DC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11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793DCF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Wśród wszystkich inwestycji objętych tym działem warto wymienić takie działy jak Działalność usługowa związana z poprawą kon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dycji fizycznej – 9 projektów o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łącznej wartości dofinansowania </w:t>
      </w:r>
      <w:r w:rsidR="00DD7A5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ponad 900 tys. 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, która obejmuje branżę powiązaną z usługami oraz dział również związany z usługami - Fryzjerstwo i pozostałe zabiegi kosmetyczne – 17 inwestycji o wartości dofinansowania bliskiej </w:t>
      </w:r>
      <w:r w:rsidR="00DD7A5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470 tys. 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</w:t>
      </w:r>
      <w:r w:rsidR="00EC084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Warto także zwrócić uwagę na dział o nazwie odzysk surowców z materiałów segregowanych sklasyfikowany w Sekcji E - Dostawa wody; gospodarowanie ściekami i odpad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ami oraz działalność związana z </w:t>
      </w:r>
      <w:r w:rsidR="00EC084A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rekultywacją, w którym realizowanych jest 16 projektów o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wartości dofinansowa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nia przekraczającej </w:t>
      </w:r>
      <w:r w:rsidR="00DD7A5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1,4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DD7A5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9C08BE" w:rsidRDefault="00192F66" w:rsidP="00192F66">
      <w:pPr>
        <w:tabs>
          <w:tab w:val="left" w:pos="2835"/>
        </w:tabs>
        <w:spacing w:before="120" w:after="0"/>
        <w:jc w:val="both"/>
        <w:rPr>
          <w:rFonts w:ascii="Times New Roman" w:hAnsi="Times New Roman"/>
          <w:i/>
          <w:sz w:val="20"/>
          <w:szCs w:val="20"/>
        </w:rPr>
      </w:pPr>
      <w:r w:rsidRPr="00192F66">
        <w:rPr>
          <w:rFonts w:ascii="Times New Roman" w:hAnsi="Times New Roman"/>
          <w:b/>
          <w:sz w:val="20"/>
          <w:szCs w:val="20"/>
        </w:rPr>
        <w:t>Tabela nr 9</w:t>
      </w:r>
      <w:r w:rsidRPr="00192F66">
        <w:rPr>
          <w:rFonts w:ascii="Times New Roman" w:hAnsi="Times New Roman"/>
          <w:sz w:val="20"/>
          <w:szCs w:val="20"/>
        </w:rPr>
        <w:t xml:space="preserve"> </w:t>
      </w:r>
      <w:r w:rsidRPr="00192F66">
        <w:rPr>
          <w:rFonts w:ascii="Times New Roman" w:hAnsi="Times New Roman"/>
          <w:i/>
          <w:sz w:val="20"/>
          <w:szCs w:val="20"/>
        </w:rPr>
        <w:t>Projekty w podziale na Sekcje i Działy PKD</w:t>
      </w:r>
    </w:p>
    <w:p w:rsidR="00192F66" w:rsidRPr="00192F66" w:rsidRDefault="00192F66" w:rsidP="00192F66">
      <w:pPr>
        <w:tabs>
          <w:tab w:val="left" w:pos="2835"/>
        </w:tabs>
        <w:spacing w:before="120" w:after="0"/>
        <w:jc w:val="both"/>
        <w:rPr>
          <w:rFonts w:ascii="Times New Roman" w:hAnsi="Times New Roman"/>
          <w:i/>
          <w:sz w:val="20"/>
          <w:szCs w:val="20"/>
        </w:rPr>
      </w:pPr>
    </w:p>
    <w:tbl>
      <w:tblPr>
        <w:tblW w:w="9653" w:type="dxa"/>
        <w:jc w:val="center"/>
        <w:tblInd w:w="-1410" w:type="dxa"/>
        <w:tblCellMar>
          <w:left w:w="70" w:type="dxa"/>
          <w:right w:w="70" w:type="dxa"/>
        </w:tblCellMar>
        <w:tblLook w:val="04A0"/>
      </w:tblPr>
      <w:tblGrid>
        <w:gridCol w:w="4994"/>
        <w:gridCol w:w="1959"/>
        <w:gridCol w:w="1843"/>
        <w:gridCol w:w="1018"/>
      </w:tblGrid>
      <w:tr w:rsidR="009C08BE" w:rsidRPr="00192F66" w:rsidTr="001F7CE2">
        <w:trPr>
          <w:trHeight w:val="330"/>
          <w:jc w:val="center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8CCE4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Działy PKD</w:t>
            </w:r>
          </w:p>
        </w:tc>
      </w:tr>
      <w:tr w:rsidR="009C08BE" w:rsidRPr="00192F66" w:rsidTr="001F7CE2">
        <w:trPr>
          <w:trHeight w:val="381"/>
          <w:jc w:val="center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4D79B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C Przetwórstwo przemysłowe</w:t>
            </w:r>
          </w:p>
        </w:tc>
      </w:tr>
      <w:tr w:rsidR="009C08BE" w:rsidRPr="00192F66" w:rsidTr="001F7CE2">
        <w:trPr>
          <w:trHeight w:val="60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4564DF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Wartość projektów (EUR)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Dofinansowanie (EUR)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 projektów</w:t>
            </w:r>
          </w:p>
        </w:tc>
      </w:tr>
      <w:tr w:rsidR="009C08BE" w:rsidRPr="00192F66" w:rsidTr="001F7CE2">
        <w:trPr>
          <w:trHeight w:val="373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Naprawa, konserwacja i instalowanie maszyn i urządzeń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6 120 642,32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2 715 351,84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49</w:t>
            </w:r>
          </w:p>
        </w:tc>
      </w:tr>
      <w:tr w:rsidR="009C08BE" w:rsidRPr="00192F66" w:rsidTr="001F7CE2">
        <w:trPr>
          <w:trHeight w:val="407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Poligrafia i reprodukcja zapisanych nośników informacji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14 877 982,64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5 837 953,91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74</w:t>
            </w:r>
          </w:p>
        </w:tc>
      </w:tr>
      <w:tr w:rsidR="009C08BE" w:rsidRPr="00192F66" w:rsidTr="001F7CE2">
        <w:trPr>
          <w:trHeight w:val="298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Pozostała produkcja wyrobów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7 692 285,49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2 981 300,53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150</w:t>
            </w:r>
          </w:p>
        </w:tc>
      </w:tr>
      <w:tr w:rsidR="009C08BE" w:rsidRPr="00192F66" w:rsidTr="001F7CE2">
        <w:trPr>
          <w:trHeight w:val="403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artykułów spożywczych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11 409 798,20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4 450 274,97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57</w:t>
            </w:r>
          </w:p>
        </w:tc>
      </w:tr>
      <w:tr w:rsidR="009C08BE" w:rsidRPr="00192F66" w:rsidTr="001F7CE2">
        <w:trPr>
          <w:trHeight w:val="409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chemikaliów i wyrobów chemicznych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4 072 579,44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1 540 184,18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25</w:t>
            </w:r>
          </w:p>
        </w:tc>
      </w:tr>
      <w:tr w:rsidR="009C08BE" w:rsidRPr="00192F66" w:rsidTr="001F7CE2">
        <w:trPr>
          <w:trHeight w:val="428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gotowych wyrobów włókienniczych, z wyłączeniem odzieży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295 683,01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140 092,29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7</w:t>
            </w:r>
          </w:p>
        </w:tc>
      </w:tr>
      <w:tr w:rsidR="009C08BE" w:rsidRPr="00192F66" w:rsidTr="001F7CE2">
        <w:trPr>
          <w:trHeight w:val="41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komputerów, wyrobów elektronicznych i optycznych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3 700 842,31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1 563 403,90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55</w:t>
            </w:r>
          </w:p>
        </w:tc>
      </w:tr>
      <w:tr w:rsidR="009C08BE" w:rsidRPr="00192F66" w:rsidTr="001F7CE2">
        <w:trPr>
          <w:trHeight w:val="502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maszyn i urządzeń, gdzie indziej niesklasyfikowana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24 799 414,21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9 414 919,64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137</w:t>
            </w:r>
          </w:p>
        </w:tc>
      </w:tr>
      <w:tr w:rsidR="009C08BE" w:rsidRPr="00192F66" w:rsidTr="00E0236D">
        <w:trPr>
          <w:trHeight w:val="377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lastRenderedPageBreak/>
              <w:t>Produkcja mebli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9 140 078,10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3 443 419,47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51</w:t>
            </w:r>
          </w:p>
        </w:tc>
      </w:tr>
      <w:tr w:rsidR="009C08BE" w:rsidRPr="00192F66" w:rsidTr="001F7CE2">
        <w:trPr>
          <w:trHeight w:val="272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metali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1 243 465,03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627 856,17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</w:t>
            </w:r>
          </w:p>
        </w:tc>
      </w:tr>
      <w:tr w:rsidR="009C08BE" w:rsidRPr="00192F66" w:rsidTr="001F7CE2">
        <w:trPr>
          <w:trHeight w:val="403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metalowych wyrobów gotowych, z wyłączeniem maszyn i urządzeń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29 117 435,69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12 003 080,00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145</w:t>
            </w:r>
          </w:p>
        </w:tc>
      </w:tr>
      <w:tr w:rsidR="009C08BE" w:rsidRPr="00192F66" w:rsidTr="001F7CE2">
        <w:trPr>
          <w:trHeight w:val="339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odzieży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2 169 098,54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1 009 966,66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40</w:t>
            </w:r>
          </w:p>
        </w:tc>
      </w:tr>
      <w:tr w:rsidR="009C08BE" w:rsidRPr="00192F66" w:rsidTr="001F7CE2">
        <w:trPr>
          <w:trHeight w:val="273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papieru i wyrobów z papieru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6 479 843,47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2 541 250,87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26</w:t>
            </w:r>
          </w:p>
        </w:tc>
      </w:tr>
      <w:tr w:rsidR="009C08BE" w:rsidRPr="00192F66" w:rsidTr="001F7CE2">
        <w:trPr>
          <w:trHeight w:val="561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pojazdów samochodów, przyczep i naczep, z wyłączeniem motocykli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9 345 161,58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3 455 765,82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31</w:t>
            </w:r>
          </w:p>
        </w:tc>
      </w:tr>
      <w:tr w:rsidR="009C08BE" w:rsidRPr="00192F66" w:rsidTr="001F7CE2">
        <w:trPr>
          <w:trHeight w:val="413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pozostałego sprzętu transportowego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1 894 791,91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661 708,09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33</w:t>
            </w:r>
          </w:p>
        </w:tc>
      </w:tr>
      <w:tr w:rsidR="009C08BE" w:rsidRPr="00192F66" w:rsidTr="001F7CE2">
        <w:trPr>
          <w:trHeight w:val="418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skór i wyrobów ze skór wyprawionych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1 171 530,87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508 901,08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47</w:t>
            </w:r>
          </w:p>
        </w:tc>
      </w:tr>
      <w:tr w:rsidR="009C08BE" w:rsidRPr="00192F66" w:rsidTr="001F7CE2">
        <w:trPr>
          <w:trHeight w:val="41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urządzeń elektrycznych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6 352 196,94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2 369 010,36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50</w:t>
            </w:r>
          </w:p>
        </w:tc>
      </w:tr>
      <w:tr w:rsidR="009C08BE" w:rsidRPr="00192F66" w:rsidTr="001F7CE2">
        <w:trPr>
          <w:trHeight w:val="417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wyrobów tekstylnych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1 982 980,12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808 355,01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18</w:t>
            </w:r>
          </w:p>
        </w:tc>
      </w:tr>
      <w:tr w:rsidR="009C08BE" w:rsidRPr="00192F66" w:rsidTr="001F7CE2">
        <w:trPr>
          <w:trHeight w:val="423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wyrobów z drewna oraz korka, z wyłączeniem mebli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10 972 030,44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4 086 179,67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40</w:t>
            </w:r>
          </w:p>
        </w:tc>
      </w:tr>
      <w:tr w:rsidR="009C08BE" w:rsidRPr="00192F66" w:rsidTr="001F7CE2">
        <w:trPr>
          <w:trHeight w:val="345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wyrobów z gumy i tworzyw sztucznych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20 136 468,22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8 182 744,86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110</w:t>
            </w:r>
          </w:p>
        </w:tc>
      </w:tr>
      <w:tr w:rsidR="009C08BE" w:rsidRPr="00192F66" w:rsidTr="001F7CE2">
        <w:trPr>
          <w:trHeight w:val="42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Produkcja wyrobów z pozostałych mineralnych surowców niemetalicznych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11 766 694,02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5 171 333,63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45</w:t>
            </w:r>
          </w:p>
        </w:tc>
      </w:tr>
      <w:tr w:rsidR="009C08BE" w:rsidRPr="00192F66" w:rsidTr="001F7CE2">
        <w:trPr>
          <w:trHeight w:val="369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184 741 002,56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73 513 052,95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1199</w:t>
            </w:r>
          </w:p>
        </w:tc>
      </w:tr>
      <w:tr w:rsidR="009C08BE" w:rsidRPr="00192F66" w:rsidTr="001F7CE2">
        <w:trPr>
          <w:trHeight w:val="488"/>
          <w:jc w:val="center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BF8F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F Budownictwo</w:t>
            </w:r>
          </w:p>
        </w:tc>
      </w:tr>
      <w:tr w:rsidR="009C08BE" w:rsidRPr="00192F66" w:rsidTr="001F7CE2">
        <w:trPr>
          <w:trHeight w:val="566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Wartość projektów (EUR)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Dofinansowanie (EUR)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191026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9C08BE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9C08BE" w:rsidRPr="00192F66" w:rsidTr="001F7CE2">
        <w:trPr>
          <w:trHeight w:val="419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Roboty budowlane specjalistyczne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9 477 693,05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3 724 601,24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50</w:t>
            </w:r>
          </w:p>
        </w:tc>
      </w:tr>
      <w:tr w:rsidR="009C08BE" w:rsidRPr="00192F66" w:rsidTr="001F7CE2">
        <w:trPr>
          <w:trHeight w:val="424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Roboty budowlane związane ze wznoszeniem budynków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3 897 583,94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1 371 453,65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19</w:t>
            </w:r>
          </w:p>
        </w:tc>
      </w:tr>
      <w:tr w:rsidR="009C08BE" w:rsidRPr="00192F66" w:rsidTr="001F7CE2">
        <w:trPr>
          <w:trHeight w:val="403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Roboty związane z budową obiektów inżynierii lądowej i wodnej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9 621 608,61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3 880 389,14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43</w:t>
            </w:r>
          </w:p>
        </w:tc>
      </w:tr>
      <w:tr w:rsidR="009C08BE" w:rsidRPr="00192F66" w:rsidTr="001F7CE2">
        <w:trPr>
          <w:trHeight w:val="325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22 996 885,59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8 976 444,02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112</w:t>
            </w:r>
          </w:p>
        </w:tc>
      </w:tr>
      <w:tr w:rsidR="009C08BE" w:rsidRPr="00192F66" w:rsidTr="001F7CE2">
        <w:trPr>
          <w:trHeight w:val="600"/>
          <w:jc w:val="center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1869B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G Handel Hurtowy i detaliczny; naprawa pojazdów samochodowych, włączając motocykle</w:t>
            </w:r>
          </w:p>
        </w:tc>
      </w:tr>
      <w:tr w:rsidR="009C08BE" w:rsidRPr="00192F66" w:rsidTr="001F7CE2">
        <w:trPr>
          <w:trHeight w:val="60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Wartość projektów (EUR)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Dofinansowanie (EUR)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191026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9C08BE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9C08BE" w:rsidRPr="00192F66" w:rsidTr="001F7CE2">
        <w:trPr>
          <w:trHeight w:val="475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Handel detaliczny, z wyłączeniem handlu pojazdami samochodowymi i motocyklami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5 773 180,70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2 442 381,14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55</w:t>
            </w:r>
          </w:p>
        </w:tc>
      </w:tr>
      <w:tr w:rsidR="009C08BE" w:rsidRPr="00192F66" w:rsidTr="001F7CE2">
        <w:trPr>
          <w:trHeight w:val="539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Handel hurtowy, z wyłączeniem handlu pojazdami samochodowymi i motocyklami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15 199 244,61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4 675 156,62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87</w:t>
            </w:r>
          </w:p>
        </w:tc>
      </w:tr>
      <w:tr w:rsidR="009C08BE" w:rsidRPr="00192F66" w:rsidTr="001F7CE2">
        <w:trPr>
          <w:trHeight w:val="702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Handel hurtowy i detaliczny pojazdami samochodowymi; naprawa pojazdów samochodowych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16 029 433,74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6 305 223,84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207</w:t>
            </w:r>
          </w:p>
        </w:tc>
      </w:tr>
      <w:tr w:rsidR="009C08BE" w:rsidRPr="00192F66" w:rsidTr="001F7CE2">
        <w:trPr>
          <w:trHeight w:val="245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37 001 859,05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13 422 761,60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349</w:t>
            </w:r>
          </w:p>
        </w:tc>
      </w:tr>
      <w:tr w:rsidR="009C08BE" w:rsidRPr="00192F66" w:rsidTr="001F7CE2">
        <w:trPr>
          <w:trHeight w:val="393"/>
          <w:jc w:val="center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I Działalność związana z zakwaterowaniem i usługami gastronomicznymi</w:t>
            </w:r>
          </w:p>
        </w:tc>
      </w:tr>
      <w:tr w:rsidR="009C08BE" w:rsidRPr="00192F66" w:rsidTr="001F7CE2">
        <w:trPr>
          <w:trHeight w:val="60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Wartość projektów (EUR)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Dofinansowanie (EUR)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191026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9C08BE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9C08BE" w:rsidRPr="00192F66" w:rsidTr="001F7CE2">
        <w:trPr>
          <w:trHeight w:val="37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usługowa związana z wyżywieniem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21 151 041,91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7 984 501,17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86</w:t>
            </w:r>
          </w:p>
        </w:tc>
      </w:tr>
      <w:tr w:rsidR="009C08BE" w:rsidRPr="00192F66" w:rsidTr="001F7CE2">
        <w:trPr>
          <w:trHeight w:val="417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Zakwaterowanie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44 363 479,20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14 475 244,16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113</w:t>
            </w:r>
          </w:p>
        </w:tc>
      </w:tr>
      <w:tr w:rsidR="009C08BE" w:rsidRPr="00192F66" w:rsidTr="001F7CE2">
        <w:trPr>
          <w:trHeight w:val="422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lastRenderedPageBreak/>
              <w:t>Razem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65 514 521,11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22 459 745,33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199</w:t>
            </w:r>
          </w:p>
        </w:tc>
      </w:tr>
      <w:tr w:rsidR="009C08BE" w:rsidRPr="00192F66" w:rsidTr="001F7CE2">
        <w:trPr>
          <w:trHeight w:val="556"/>
          <w:jc w:val="center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J Informacja i komunikacja</w:t>
            </w:r>
          </w:p>
        </w:tc>
      </w:tr>
      <w:tr w:rsidR="009C08BE" w:rsidRPr="00192F66" w:rsidTr="001F7CE2">
        <w:trPr>
          <w:trHeight w:val="60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Wartość projektów (EUR)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Dofinansowanie (EUR)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191026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9C08BE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9C08BE" w:rsidRPr="00192F66" w:rsidTr="001F7CE2">
        <w:trPr>
          <w:trHeight w:val="36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usługowa w zakresie informacji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548 458,32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244 343,13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10</w:t>
            </w:r>
          </w:p>
        </w:tc>
      </w:tr>
      <w:tr w:rsidR="009C08BE" w:rsidRPr="00192F66" w:rsidTr="001F7CE2">
        <w:trPr>
          <w:trHeight w:val="437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wydawnicza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1 364 781,01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486 070,26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</w:t>
            </w:r>
          </w:p>
        </w:tc>
      </w:tr>
      <w:tr w:rsidR="009C08BE" w:rsidRPr="00192F66" w:rsidTr="001F7CE2">
        <w:trPr>
          <w:trHeight w:val="685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związana z oprogramowanie i doradztwem w zakresie informatyki oraz działalność powiązana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3 306 227,06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1 426 225,03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32</w:t>
            </w:r>
          </w:p>
        </w:tc>
      </w:tr>
      <w:tr w:rsidR="009C08BE" w:rsidRPr="00192F66" w:rsidTr="001F7CE2">
        <w:trPr>
          <w:trHeight w:val="425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Nadawanie programów ogólnodostępnych i abonamentowych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19 836,91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9 845,34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</w:t>
            </w:r>
          </w:p>
        </w:tc>
      </w:tr>
      <w:tr w:rsidR="009C08BE" w:rsidRPr="00192F66" w:rsidTr="001F7CE2">
        <w:trPr>
          <w:trHeight w:val="347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Telekomunikacja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14 586 611,45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6 139 924,82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47</w:t>
            </w:r>
          </w:p>
        </w:tc>
      </w:tr>
      <w:tr w:rsidR="009C08BE" w:rsidRPr="00192F66" w:rsidTr="001F7CE2">
        <w:trPr>
          <w:trHeight w:val="706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związana z produkcją filmów, nagrań wideo, programów telewizyjnych, nagrań dźwiękowych i muzycznych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130 637,85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62 500,00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</w:t>
            </w:r>
          </w:p>
        </w:tc>
      </w:tr>
      <w:tr w:rsidR="009C08BE" w:rsidRPr="00192F66" w:rsidTr="001F7CE2">
        <w:trPr>
          <w:trHeight w:val="377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19 956 552,60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8 368 908,58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104</w:t>
            </w:r>
          </w:p>
        </w:tc>
      </w:tr>
      <w:tr w:rsidR="009C08BE" w:rsidRPr="00192F66" w:rsidTr="001F7CE2">
        <w:trPr>
          <w:trHeight w:val="552"/>
          <w:jc w:val="center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M Działalność profesjonalna, naukowa i techniczna</w:t>
            </w:r>
          </w:p>
        </w:tc>
      </w:tr>
      <w:tr w:rsidR="009C08BE" w:rsidRPr="00192F66" w:rsidTr="001F7CE2">
        <w:trPr>
          <w:trHeight w:val="574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Wartość projektów (EUR)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Dofinansowanie (EUR)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191026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9C08BE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9C08BE" w:rsidRPr="00192F66" w:rsidTr="001F7CE2">
        <w:trPr>
          <w:trHeight w:val="385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Badania naukowe i prace rozwojowe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253 200,21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105 493,40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</w:t>
            </w:r>
          </w:p>
        </w:tc>
      </w:tr>
      <w:tr w:rsidR="009C08BE" w:rsidRPr="00192F66" w:rsidTr="001F7CE2">
        <w:trPr>
          <w:trHeight w:val="56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firm centralnych (head offices); doradztwo związane z zarządzaniem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352 529,06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168 469,54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</w:t>
            </w:r>
          </w:p>
        </w:tc>
      </w:tr>
      <w:tr w:rsidR="009C08BE" w:rsidRPr="00192F66" w:rsidTr="001F7CE2">
        <w:trPr>
          <w:trHeight w:val="554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prawnicza, rachunkowo-księgowa i doradztwo podatkowe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564 069,63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240 899,75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</w:t>
            </w:r>
          </w:p>
        </w:tc>
      </w:tr>
      <w:tr w:rsidR="009C08BE" w:rsidRPr="00192F66" w:rsidTr="001F7CE2">
        <w:trPr>
          <w:trHeight w:val="548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w zakresie architektury i inżynierii; Badania i analizy techniczne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7 141 941,91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3 064 698,93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84</w:t>
            </w:r>
          </w:p>
        </w:tc>
      </w:tr>
      <w:tr w:rsidR="009C08BE" w:rsidRPr="00192F66" w:rsidTr="001F7CE2">
        <w:trPr>
          <w:trHeight w:val="315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weterynaryjna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878 078,90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444 331,07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11</w:t>
            </w:r>
          </w:p>
        </w:tc>
      </w:tr>
      <w:tr w:rsidR="009C08BE" w:rsidRPr="00192F66" w:rsidTr="001F7CE2">
        <w:trPr>
          <w:trHeight w:val="405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Pozostała działalność profesjonalna, naukowa i techniczna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231 003,77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111 956,13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6</w:t>
            </w:r>
          </w:p>
        </w:tc>
      </w:tr>
      <w:tr w:rsidR="009C08BE" w:rsidRPr="00192F66" w:rsidTr="001F7CE2">
        <w:trPr>
          <w:trHeight w:val="269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Reklama, badanie rynku i opinii publicznej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3 000 811,19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1 368 495,40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36</w:t>
            </w:r>
          </w:p>
        </w:tc>
      </w:tr>
      <w:tr w:rsidR="009C08BE" w:rsidRPr="00192F66" w:rsidTr="001F7CE2">
        <w:trPr>
          <w:trHeight w:val="418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12 421 634,67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5 504 344,21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157</w:t>
            </w:r>
          </w:p>
        </w:tc>
      </w:tr>
      <w:tr w:rsidR="009C08BE" w:rsidRPr="00192F66" w:rsidTr="001F7CE2">
        <w:trPr>
          <w:trHeight w:val="410"/>
          <w:jc w:val="center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Sekcja Q Opieka zdrowotna i pomoc społeczna</w:t>
            </w:r>
          </w:p>
        </w:tc>
      </w:tr>
      <w:tr w:rsidR="009C08BE" w:rsidRPr="00192F66" w:rsidTr="001F7CE2">
        <w:trPr>
          <w:trHeight w:val="417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Wartość projektów (EUR)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Dofinansowanie (EUR)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191026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9C08BE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9C08BE" w:rsidRPr="00192F66" w:rsidTr="001F7CE2">
        <w:trPr>
          <w:trHeight w:val="369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Opieka zdrowotna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19 790 012,27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10 146 815,44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196</w:t>
            </w:r>
          </w:p>
        </w:tc>
      </w:tr>
      <w:tr w:rsidR="009C08BE" w:rsidRPr="00192F66" w:rsidTr="001F7CE2">
        <w:trPr>
          <w:trHeight w:val="401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Pomoc społeczna bez zakwaterowania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38 891,55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19 115,87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</w:t>
            </w:r>
          </w:p>
        </w:tc>
      </w:tr>
      <w:tr w:rsidR="009C08BE" w:rsidRPr="00192F66" w:rsidTr="001F7CE2">
        <w:trPr>
          <w:trHeight w:val="41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19 828 903,82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10 165 931,31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197</w:t>
            </w:r>
          </w:p>
        </w:tc>
      </w:tr>
      <w:tr w:rsidR="009C08BE" w:rsidRPr="00192F66" w:rsidTr="001F7CE2">
        <w:trPr>
          <w:trHeight w:val="70"/>
          <w:jc w:val="center"/>
        </w:trPr>
        <w:tc>
          <w:tcPr>
            <w:tcW w:w="4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92F66" w:rsidRDefault="00192F66" w:rsidP="001F7CE2">
            <w:pPr>
              <w:spacing w:after="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  <w:p w:rsidR="001F1F47" w:rsidRDefault="001F1F47" w:rsidP="001F7CE2">
            <w:pPr>
              <w:spacing w:after="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  <w:p w:rsidR="001F1F47" w:rsidRDefault="001F1F47" w:rsidP="001F7CE2">
            <w:pPr>
              <w:spacing w:after="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  <w:p w:rsidR="001F1F47" w:rsidRDefault="001F1F47" w:rsidP="001F7CE2">
            <w:pPr>
              <w:spacing w:after="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  <w:p w:rsidR="001F1F47" w:rsidRDefault="001F1F47" w:rsidP="001F7CE2">
            <w:pPr>
              <w:spacing w:after="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  <w:p w:rsidR="001F1F47" w:rsidRDefault="001F1F47" w:rsidP="001F7CE2">
            <w:pPr>
              <w:spacing w:after="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  <w:p w:rsidR="001F1F47" w:rsidRPr="00192F66" w:rsidRDefault="001F1F47" w:rsidP="001F7CE2">
            <w:pPr>
              <w:spacing w:after="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</w:tr>
      <w:tr w:rsidR="009C08BE" w:rsidRPr="00192F66" w:rsidTr="001F7CE2">
        <w:trPr>
          <w:trHeight w:val="439"/>
          <w:jc w:val="center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lastRenderedPageBreak/>
              <w:t>Sekcja R  Działalność związana z kulturą, rozrywką i rekreacją</w:t>
            </w:r>
          </w:p>
        </w:tc>
      </w:tr>
      <w:tr w:rsidR="009C08BE" w:rsidRPr="00192F66" w:rsidTr="001F7CE2">
        <w:trPr>
          <w:trHeight w:val="600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Wartość projektów (EUR)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Dofinansowanie (EUR)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191026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Liczba </w:t>
            </w:r>
            <w:r w:rsidR="009C08BE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projektów</w:t>
            </w:r>
          </w:p>
        </w:tc>
      </w:tr>
      <w:tr w:rsidR="009C08BE" w:rsidRPr="00192F66" w:rsidTr="001F7CE2">
        <w:trPr>
          <w:trHeight w:val="532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bibliotek, archiwów, muzeów oraz pozostała działalność związana z kulturą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119 850,69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56 297,11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</w:t>
            </w:r>
          </w:p>
        </w:tc>
      </w:tr>
      <w:tr w:rsidR="009C08BE" w:rsidRPr="00192F66" w:rsidTr="001F7CE2">
        <w:trPr>
          <w:trHeight w:val="399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sportowa, rozrywkowa i rekreacyjna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28 857 389,77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9 456 179,30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92</w:t>
            </w:r>
          </w:p>
        </w:tc>
      </w:tr>
      <w:tr w:rsidR="009C08BE" w:rsidRPr="00192F66" w:rsidTr="001F7CE2">
        <w:trPr>
          <w:trHeight w:val="419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Działalność twórcza związana z kulturą i rozrywką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656 717,21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294 973,23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5</w:t>
            </w:r>
          </w:p>
        </w:tc>
      </w:tr>
      <w:tr w:rsidR="009C08BE" w:rsidRPr="00192F66" w:rsidTr="001F7CE2">
        <w:trPr>
          <w:trHeight w:val="424"/>
          <w:jc w:val="center"/>
        </w:trPr>
        <w:tc>
          <w:tcPr>
            <w:tcW w:w="4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29 633 957,67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pl-PL"/>
              </w:rPr>
              <w:t>9 807 449,64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99</w:t>
            </w:r>
          </w:p>
        </w:tc>
      </w:tr>
      <w:tr w:rsidR="009C08BE" w:rsidRPr="00192F66" w:rsidTr="001F7CE2">
        <w:trPr>
          <w:trHeight w:val="416"/>
          <w:jc w:val="center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48A54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Pozostałe sekcje</w:t>
            </w:r>
          </w:p>
        </w:tc>
      </w:tr>
      <w:tr w:rsidR="009C08BE" w:rsidRPr="00192F66" w:rsidTr="001F7CE2">
        <w:trPr>
          <w:trHeight w:val="600"/>
          <w:jc w:val="center"/>
        </w:trPr>
        <w:tc>
          <w:tcPr>
            <w:tcW w:w="499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Wartość projektów (EUR)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Dofinansowanie (EUR)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191026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  <w:r w:rsidR="009C08BE"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 xml:space="preserve"> projektów</w:t>
            </w:r>
          </w:p>
        </w:tc>
      </w:tr>
      <w:tr w:rsidR="009C08BE" w:rsidRPr="00192F66" w:rsidTr="001F7CE2">
        <w:trPr>
          <w:trHeight w:val="375"/>
          <w:jc w:val="center"/>
        </w:trPr>
        <w:tc>
          <w:tcPr>
            <w:tcW w:w="499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28 040 501,53 EUR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10 965 118,63 EUR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8BE" w:rsidRPr="00192F66" w:rsidRDefault="009C08BE" w:rsidP="001F7CE2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192F66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162</w:t>
            </w:r>
          </w:p>
        </w:tc>
      </w:tr>
    </w:tbl>
    <w:p w:rsidR="001F1F47" w:rsidRPr="004564DF" w:rsidRDefault="001F1F47" w:rsidP="004564DF">
      <w:pPr>
        <w:tabs>
          <w:tab w:val="left" w:pos="2835"/>
        </w:tabs>
        <w:jc w:val="both"/>
        <w:rPr>
          <w:rFonts w:ascii="Times New Roman" w:hAnsi="Times New Roman"/>
          <w:sz w:val="24"/>
          <w:szCs w:val="24"/>
        </w:rPr>
      </w:pPr>
    </w:p>
    <w:p w:rsidR="00A46275" w:rsidRPr="004564DF" w:rsidRDefault="00611A80" w:rsidP="004564DF">
      <w:pPr>
        <w:pStyle w:val="Nagwek2"/>
        <w:numPr>
          <w:ilvl w:val="0"/>
          <w:numId w:val="12"/>
        </w:numPr>
        <w:ind w:left="851" w:hanging="491"/>
        <w:jc w:val="both"/>
        <w:rPr>
          <w:rFonts w:ascii="Times New Roman" w:hAnsi="Times New Roman"/>
          <w:i w:val="0"/>
          <w:noProof/>
          <w:sz w:val="24"/>
          <w:szCs w:val="24"/>
          <w:lang w:eastAsia="pl-PL"/>
        </w:rPr>
      </w:pPr>
      <w:bookmarkStart w:id="13" w:name="_Toc356809928"/>
      <w:r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>Sekcje PKD a kategorie interwencji</w:t>
      </w:r>
      <w:bookmarkEnd w:id="13"/>
    </w:p>
    <w:p w:rsidR="00A46275" w:rsidRPr="004564DF" w:rsidRDefault="00611A80" w:rsidP="001F1F47">
      <w:pPr>
        <w:spacing w:before="120"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R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egionalnym Programie Operacyjnym Województwa Śląskiego na lata 2007-2013, 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przedsiębiorcy realizują projekty wpisujące się do czterech kategorii interwencji: 04, 05, 07, 08.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K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ategoria interwencji 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4 to projekty mające na celu wsp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ieracie na rzecz rozwoju B+R, w 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szczególności w MŚP (w tym dostęp do usług związanych z B+R w ośrodkach badawczych). Śląskie Centrum przedsiębiorczości zawarło dotychczas jedynie 2 umowy o dofinansowanie tego typy projektów. Ob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y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dwa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projekty zlokalizowano w Sekcji M Działalność profesjonalna, naukowa i techniczna. </w:t>
      </w:r>
    </w:p>
    <w:p w:rsidR="00A46275" w:rsidRPr="004564DF" w:rsidRDefault="00A46275" w:rsidP="001F1F47">
      <w:pPr>
        <w:spacing w:before="120"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Kategoria interwencji 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5 to projekty obejmujące usługi w zakresie zaawansowanego wsparcia dla przedsiębiorstw i grup przedsiębiorstw. W zestawianiu sklasyfikowano 25 takich inwestycji, dofinansowanych w ramach RPO WSL przez Śląskie Centrum Przedsiębiorczości. Najwięcej, bo 12 to Przetwórstwo przemysłowe, następnie handel – 5 inwestycji oraz budownictwo -  3 projekty. </w:t>
      </w:r>
    </w:p>
    <w:p w:rsidR="00A46275" w:rsidRPr="004564DF" w:rsidRDefault="00A46275" w:rsidP="001F1F47">
      <w:pPr>
        <w:spacing w:before="120"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Kategoria interwencji 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7 to projekty obejmujące inwestycje w przedsiębiorstwa bezpośrednio związane z dziedziną badań i innowacji (innowacyjne technologie, tworzenie przedsiębiorstw przez u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czelnie, istniejące ośrodki B+R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i przedsiębiorstwa itp.)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Przedsiębiorcy realizują w 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ramach RPO WSL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315 inwestycji te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j kategorii interwencji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Najwięcej bo 168 w obszarze przetwórstwa przemysłowego, następnie 42 projekt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y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realizowane 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są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b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ranży informacji i 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komunikacji.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Z kolei w sekcji Q Opieka zdrowotna i pomoc społeczna wyszczególniono 35 inwestycji tego typu. </w:t>
      </w:r>
    </w:p>
    <w:p w:rsidR="001F1F47" w:rsidRPr="00E0236D" w:rsidRDefault="00A46275" w:rsidP="00E0236D">
      <w:pPr>
        <w:spacing w:before="120"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Ostatnia kategoria interwencji 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0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8 jest największą spośród sklasyfikowanych. Dotyczy innych inwestycji w przedsiębiorstwa. Kategoria tego typu została 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stwierdzona w 2236 projektach o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łącznej wartości dofinansowania ponad </w:t>
      </w:r>
      <w:r w:rsidR="00467E3B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124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mln </w:t>
      </w:r>
      <w:r w:rsidR="00467E3B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, co stanowi 76% wartości dofinansowania  </w:t>
      </w:r>
      <w:r w:rsidR="00A228C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szystkich projektów. Największa 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liczba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projektów tego typu reprezentuje przetwórstwo przemysłowe – 1019. </w:t>
      </w:r>
      <w:r w:rsidR="006B4B4D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Ponadto,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wszystkie projekty (199) z zakresu zakwaterowania i gastronomi obejmuje właśnie przedmiotowa kategoria.</w:t>
      </w:r>
    </w:p>
    <w:p w:rsidR="001F1F47" w:rsidRDefault="001F1F47" w:rsidP="001F1F47">
      <w:pPr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20"/>
          <w:lang w:eastAsia="pl-PL"/>
        </w:rPr>
      </w:pPr>
    </w:p>
    <w:p w:rsidR="00755478" w:rsidRDefault="00755478" w:rsidP="001F1F47">
      <w:pPr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20"/>
          <w:lang w:eastAsia="pl-PL"/>
        </w:rPr>
      </w:pPr>
    </w:p>
    <w:p w:rsidR="00755478" w:rsidRDefault="00755478">
      <w:pPr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20"/>
          <w:lang w:eastAsia="pl-PL"/>
        </w:rPr>
      </w:pPr>
      <w:r>
        <w:rPr>
          <w:rFonts w:ascii="Times New Roman" w:eastAsia="Times New Roman" w:hAnsi="Times New Roman"/>
          <w:b/>
          <w:color w:val="000000"/>
          <w:sz w:val="20"/>
          <w:szCs w:val="20"/>
          <w:lang w:eastAsia="pl-PL"/>
        </w:rPr>
        <w:br w:type="page"/>
      </w:r>
    </w:p>
    <w:p w:rsidR="001F7CE2" w:rsidRDefault="001F7CE2" w:rsidP="001F1F47">
      <w:pPr>
        <w:spacing w:after="0" w:line="240" w:lineRule="auto"/>
        <w:rPr>
          <w:rFonts w:ascii="Times New Roman" w:eastAsia="Times New Roman" w:hAnsi="Times New Roman"/>
          <w:color w:val="000000"/>
          <w:sz w:val="20"/>
          <w:szCs w:val="20"/>
          <w:lang w:eastAsia="pl-PL"/>
        </w:rPr>
      </w:pPr>
      <w:r w:rsidRPr="001F7CE2">
        <w:rPr>
          <w:rFonts w:ascii="Times New Roman" w:eastAsia="Times New Roman" w:hAnsi="Times New Roman"/>
          <w:b/>
          <w:color w:val="000000"/>
          <w:sz w:val="20"/>
          <w:szCs w:val="20"/>
          <w:lang w:eastAsia="pl-PL"/>
        </w:rPr>
        <w:lastRenderedPageBreak/>
        <w:t>Tabela nr 10</w:t>
      </w:r>
      <w:r w:rsidRPr="001F7CE2">
        <w:rPr>
          <w:rFonts w:ascii="Times New Roman" w:eastAsia="Times New Roman" w:hAnsi="Times New Roman"/>
          <w:color w:val="000000"/>
          <w:sz w:val="20"/>
          <w:szCs w:val="20"/>
          <w:lang w:eastAsia="pl-PL"/>
        </w:rPr>
        <w:t xml:space="preserve"> Projekty w podziale na Sekcje PKD – Kategoria interwencji</w:t>
      </w:r>
    </w:p>
    <w:p w:rsidR="001F1F47" w:rsidRPr="001F1F47" w:rsidRDefault="001F1F47" w:rsidP="001F1F47">
      <w:pPr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20"/>
          <w:lang w:eastAsia="pl-PL"/>
        </w:rPr>
      </w:pPr>
    </w:p>
    <w:p w:rsidR="00AF0E89" w:rsidRPr="004564DF" w:rsidRDefault="001F7CE2" w:rsidP="001F1F47">
      <w:pPr>
        <w:tabs>
          <w:tab w:val="left" w:pos="2835"/>
        </w:tabs>
        <w:jc w:val="center"/>
        <w:rPr>
          <w:rFonts w:ascii="Times New Roman" w:hAnsi="Times New Roman"/>
          <w:sz w:val="24"/>
          <w:szCs w:val="24"/>
        </w:rPr>
        <w:sectPr w:rsidR="00AF0E89" w:rsidRPr="004564DF" w:rsidSect="001F7CE2">
          <w:pgSz w:w="11906" w:h="16838"/>
          <w:pgMar w:top="1418" w:right="1274" w:bottom="1418" w:left="992" w:header="709" w:footer="0" w:gutter="0"/>
          <w:cols w:space="708"/>
          <w:titlePg/>
          <w:docGrid w:linePitch="360"/>
        </w:sectPr>
      </w:pPr>
      <w:r w:rsidRPr="001F7CE2">
        <w:rPr>
          <w:noProof/>
          <w:lang w:eastAsia="pl-PL"/>
        </w:rPr>
        <w:drawing>
          <wp:inline distT="0" distB="0" distL="0" distR="0">
            <wp:extent cx="6229350" cy="2876550"/>
            <wp:effectExtent l="0" t="0" r="0" b="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275" w:rsidRPr="004564DF" w:rsidRDefault="00A04DA0" w:rsidP="004564DF">
      <w:pPr>
        <w:pStyle w:val="Nagwek2"/>
        <w:numPr>
          <w:ilvl w:val="0"/>
          <w:numId w:val="12"/>
        </w:numPr>
        <w:ind w:left="851" w:hanging="491"/>
        <w:jc w:val="both"/>
        <w:rPr>
          <w:rFonts w:ascii="Times New Roman" w:hAnsi="Times New Roman"/>
          <w:i w:val="0"/>
          <w:noProof/>
          <w:sz w:val="24"/>
          <w:szCs w:val="24"/>
          <w:lang w:eastAsia="pl-PL"/>
        </w:rPr>
      </w:pPr>
      <w:bookmarkStart w:id="14" w:name="_Toc356809929"/>
      <w:r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lastRenderedPageBreak/>
        <w:t>Sekcje PKD a typy projektów</w:t>
      </w:r>
      <w:bookmarkEnd w:id="14"/>
    </w:p>
    <w:p w:rsidR="00001393" w:rsidRDefault="00A04DA0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Projekty realizowane przez przedsiębiorców podzielone zostały na trzy typy</w:t>
      </w:r>
      <w:r w:rsidR="00AF0E8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: inwestycyjne, targowe (obejmujące również misje) oraz doradcze.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70% wszystkich projektów stanowią działania inwestycyjne.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 </w:t>
      </w:r>
      <w:r w:rsidR="00AF0E8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branży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handlowej najwięcej realizowanych jest projektów targowych, natomiast w pozostałych branżach dominują projekty inwestycyjne. P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rojekty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wyłącznie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inwestycyjne realizowane są przez przedsiębiorców działających w branży ochrony zdrowia. </w:t>
      </w:r>
    </w:p>
    <w:p w:rsidR="00192F66" w:rsidRPr="00192F66" w:rsidRDefault="00192F66" w:rsidP="00192F66">
      <w:pPr>
        <w:tabs>
          <w:tab w:val="left" w:pos="2835"/>
        </w:tabs>
        <w:spacing w:before="120"/>
        <w:jc w:val="both"/>
        <w:rPr>
          <w:rFonts w:ascii="Times New Roman" w:hAnsi="Times New Roman"/>
          <w:i/>
          <w:sz w:val="20"/>
          <w:szCs w:val="20"/>
        </w:rPr>
      </w:pPr>
      <w:r w:rsidRPr="00192F66">
        <w:rPr>
          <w:rFonts w:ascii="Times New Roman" w:hAnsi="Times New Roman"/>
          <w:b/>
          <w:sz w:val="20"/>
          <w:szCs w:val="20"/>
        </w:rPr>
        <w:t>Tabela nr 11</w:t>
      </w:r>
      <w:r w:rsidRPr="00192F66">
        <w:rPr>
          <w:rFonts w:ascii="Times New Roman" w:hAnsi="Times New Roman"/>
          <w:i/>
          <w:sz w:val="20"/>
          <w:szCs w:val="20"/>
        </w:rPr>
        <w:t xml:space="preserve"> Projekty w podziale na Sekcje PKD oraz typy projektów</w:t>
      </w:r>
    </w:p>
    <w:p w:rsidR="00AF0E89" w:rsidRDefault="008347E9" w:rsidP="001F7CE2">
      <w:pPr>
        <w:tabs>
          <w:tab w:val="left" w:pos="2835"/>
        </w:tabs>
        <w:jc w:val="center"/>
        <w:rPr>
          <w:rFonts w:ascii="Times New Roman" w:hAnsi="Times New Roman"/>
          <w:sz w:val="24"/>
          <w:szCs w:val="24"/>
        </w:rPr>
      </w:pPr>
      <w:r w:rsidRPr="008347E9">
        <w:rPr>
          <w:noProof/>
          <w:lang w:eastAsia="pl-PL"/>
        </w:rPr>
        <w:drawing>
          <wp:inline distT="0" distB="0" distL="0" distR="0">
            <wp:extent cx="9182100" cy="4333875"/>
            <wp:effectExtent l="0" t="0" r="0" b="0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F66" w:rsidRPr="004564DF" w:rsidRDefault="00192F66" w:rsidP="004564DF">
      <w:pPr>
        <w:tabs>
          <w:tab w:val="left" w:pos="2835"/>
        </w:tabs>
        <w:jc w:val="both"/>
        <w:rPr>
          <w:rFonts w:ascii="Times New Roman" w:hAnsi="Times New Roman"/>
          <w:sz w:val="24"/>
          <w:szCs w:val="24"/>
        </w:rPr>
        <w:sectPr w:rsidR="00192F66" w:rsidRPr="004564DF" w:rsidSect="00885A95">
          <w:pgSz w:w="16838" w:h="11906" w:orient="landscape"/>
          <w:pgMar w:top="992" w:right="1418" w:bottom="1276" w:left="1418" w:header="709" w:footer="0" w:gutter="0"/>
          <w:cols w:space="708"/>
          <w:titlePg/>
          <w:docGrid w:linePitch="360"/>
        </w:sectPr>
      </w:pPr>
    </w:p>
    <w:p w:rsidR="00A46275" w:rsidRPr="004564DF" w:rsidRDefault="00923666" w:rsidP="004564DF">
      <w:pPr>
        <w:pStyle w:val="Nagwek2"/>
        <w:numPr>
          <w:ilvl w:val="0"/>
          <w:numId w:val="12"/>
        </w:numPr>
        <w:ind w:left="851" w:hanging="491"/>
        <w:jc w:val="both"/>
        <w:rPr>
          <w:rFonts w:ascii="Times New Roman" w:hAnsi="Times New Roman"/>
          <w:i w:val="0"/>
          <w:noProof/>
          <w:sz w:val="24"/>
          <w:szCs w:val="24"/>
          <w:lang w:eastAsia="pl-PL"/>
        </w:rPr>
      </w:pPr>
      <w:bookmarkStart w:id="15" w:name="_Toc356809930"/>
      <w:r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lastRenderedPageBreak/>
        <w:t>Innowacje realizowane przez przedsiębiorców w podziale na sekcje PKD</w:t>
      </w:r>
      <w:bookmarkEnd w:id="15"/>
    </w:p>
    <w:p w:rsidR="001235C6" w:rsidRDefault="00A46275" w:rsidP="008347E9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Dla celów niniejszego opracowania poddano analizie również projekty dla których zawarto umowy o dofinansowanie w ramach</w:t>
      </w:r>
      <w:r w:rsidR="0092366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Poddziałania 1.2.3 Innowacje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mikroprzedsiębi</w:t>
      </w:r>
      <w:r w:rsidR="0092366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orstwach i MŚP. Na projekty innowacyjne zostały ogłoszone trzy konkursy.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Biorąc pod uwagę fakt, iż </w:t>
      </w:r>
      <w:r w:rsidR="0092366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ostatni konkurs został ogłoszony w maju 2012 r., a wyboru projektów do dofinansowania nie dokonano przed upływem 2012 r.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, przedstawiona charakterystyka projektów innowacyjnych dotyczy jedyn</w:t>
      </w:r>
      <w:r w:rsidR="0092366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ie dwóch pierwszych konkursów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ramach poddziałania</w:t>
      </w:r>
      <w:r w:rsidR="00923666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1.2.3</w:t>
      </w:r>
      <w:r w:rsidR="001235C6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A46275" w:rsidRDefault="00A46275" w:rsidP="008347E9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Projekty innowacyjne stanowią obecnie 12% wszystk</w:t>
      </w:r>
      <w:r w:rsidR="00F44FC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ich projektów dofinansowanych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ramach RPO WSL. Najbardziej innowacyjne projekty </w:t>
      </w:r>
      <w:r w:rsidR="00F44FC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realizowane są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 branży powiąza</w:t>
      </w:r>
      <w:r w:rsidR="00F44FC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nej z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informacją i komunikacją. Stanowią one 40% wszystki</w:t>
      </w:r>
      <w:r w:rsidR="00F44FC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ch projektów sklasyfikowanych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tym obszarze. Z kolei bardzo niski </w:t>
      </w:r>
      <w:r w:rsidR="00F44FC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odsetek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projek</w:t>
      </w:r>
      <w:r w:rsidR="00F44FC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tów innowacyjnych realizowanych jest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branży handlowej – jedynie 5%.  </w:t>
      </w:r>
      <w:r w:rsidR="00F44FC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Innowacyjność nie występuje w projektach z branży turystycznej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Co piąty projekt realizowany w obszarze ochrony zdrowia jest innowacyjny. Warto również zwrócić uwagę, iż jedynie 14% projektów innowacyjnych realizowanych jest w obszarze przetwórstwa przemysłowego, co biorąc pod uwagę wielkość tej branży jak i </w:t>
      </w:r>
      <w:r w:rsidR="00F44FC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jej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znaczenie nie jest wynikiem satysfakcjonującym.</w:t>
      </w:r>
    </w:p>
    <w:p w:rsidR="00192F66" w:rsidRDefault="00640151" w:rsidP="00640151">
      <w:pPr>
        <w:tabs>
          <w:tab w:val="left" w:pos="2835"/>
        </w:tabs>
        <w:spacing w:before="120"/>
        <w:jc w:val="both"/>
        <w:rPr>
          <w:rFonts w:ascii="Times New Roman" w:hAnsi="Times New Roman"/>
          <w:i/>
          <w:sz w:val="20"/>
          <w:szCs w:val="20"/>
        </w:rPr>
      </w:pPr>
      <w:r w:rsidRPr="00640151">
        <w:rPr>
          <w:rFonts w:ascii="Times New Roman" w:hAnsi="Times New Roman"/>
          <w:b/>
          <w:sz w:val="20"/>
          <w:szCs w:val="20"/>
        </w:rPr>
        <w:t>Tabela nr 12</w:t>
      </w:r>
      <w:r w:rsidRPr="00640151">
        <w:rPr>
          <w:rFonts w:ascii="Times New Roman" w:hAnsi="Times New Roman"/>
          <w:i/>
          <w:sz w:val="20"/>
          <w:szCs w:val="20"/>
        </w:rPr>
        <w:t xml:space="preserve"> Projekty w podziale na Sekcje PKD – Inwestycje innowacyjne</w:t>
      </w:r>
    </w:p>
    <w:p w:rsidR="008347E9" w:rsidRPr="00640151" w:rsidRDefault="001235C6" w:rsidP="00640151">
      <w:pPr>
        <w:tabs>
          <w:tab w:val="left" w:pos="2835"/>
        </w:tabs>
        <w:spacing w:before="120"/>
        <w:jc w:val="both"/>
        <w:rPr>
          <w:rFonts w:ascii="Times New Roman" w:hAnsi="Times New Roman"/>
          <w:i/>
          <w:sz w:val="20"/>
          <w:szCs w:val="20"/>
        </w:rPr>
      </w:pPr>
      <w:bookmarkStart w:id="16" w:name="_GoBack"/>
      <w:r w:rsidRPr="001235C6">
        <w:rPr>
          <w:noProof/>
          <w:lang w:eastAsia="pl-PL"/>
        </w:rPr>
        <w:drawing>
          <wp:inline distT="0" distB="0" distL="0" distR="0">
            <wp:extent cx="9629775" cy="3448050"/>
            <wp:effectExtent l="0" t="0" r="0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6"/>
    </w:p>
    <w:p w:rsidR="00A46275" w:rsidRPr="004564DF" w:rsidRDefault="00A46275" w:rsidP="004564DF">
      <w:pPr>
        <w:pStyle w:val="Nagwek2"/>
        <w:numPr>
          <w:ilvl w:val="0"/>
          <w:numId w:val="12"/>
        </w:numPr>
        <w:ind w:left="851" w:hanging="491"/>
        <w:jc w:val="both"/>
        <w:rPr>
          <w:rFonts w:ascii="Times New Roman" w:hAnsi="Times New Roman"/>
          <w:i w:val="0"/>
          <w:noProof/>
          <w:sz w:val="24"/>
          <w:szCs w:val="24"/>
          <w:lang w:eastAsia="pl-PL"/>
        </w:rPr>
      </w:pPr>
      <w:bookmarkStart w:id="17" w:name="_Toc356809931"/>
      <w:r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lastRenderedPageBreak/>
        <w:t xml:space="preserve">Analiza </w:t>
      </w:r>
      <w:r w:rsidR="00074D3D" w:rsidRPr="004564DF">
        <w:rPr>
          <w:rFonts w:ascii="Times New Roman" w:hAnsi="Times New Roman"/>
          <w:i w:val="0"/>
          <w:noProof/>
          <w:sz w:val="24"/>
          <w:szCs w:val="24"/>
          <w:lang w:eastAsia="pl-PL"/>
        </w:rPr>
        <w:t>Sekcje PKD a wielkość przedsiębiorstwa</w:t>
      </w:r>
      <w:bookmarkEnd w:id="17"/>
    </w:p>
    <w:p w:rsidR="008347E9" w:rsidRPr="008347E9" w:rsidRDefault="00001393" w:rsidP="008347E9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Poniżej przedstawiona została analiza wsparcia udzielonego przedsiębiorcom w podziale na sekcje PKD oraz wielkość przedsiębiorstw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Najwięcej bo 41% przedsiębiorstw dofinansowanych w ramach RPO WSL to mikroprzedsiębiorstwa. Wśród nich zdecydowany prym wiedzie branża ochrony zdrowia, gdzie 88% podmiotów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reprezentuje tą branżę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Równie wysoki procent mikroprzedsiębiorstw występuje wśród projektów realizowanych w ramach profesjonalnej działalności naukowej i technicznej – 80%. Najmniejszy udział mikroprzedsiębiorstw odnajdujmy w przemyśle – 24%. To w tej branży występuje najwięcej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średnich </w:t>
      </w:r>
      <w:r w:rsidR="00A46275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przedsiębiorstw – 32%. Z kolei biorąc pod uwagę małe przedsiębiorstwa na pierwszy plan wysuwa się wysoki udział branży powiązanej z informacja i komunikacją – 59%.</w:t>
      </w:r>
    </w:p>
    <w:p w:rsidR="00640151" w:rsidRPr="00640151" w:rsidRDefault="00640151" w:rsidP="00640151">
      <w:pPr>
        <w:tabs>
          <w:tab w:val="left" w:pos="2835"/>
        </w:tabs>
        <w:spacing w:before="120"/>
        <w:jc w:val="both"/>
        <w:rPr>
          <w:rFonts w:ascii="Times New Roman" w:hAnsi="Times New Roman"/>
          <w:i/>
          <w:sz w:val="20"/>
          <w:szCs w:val="20"/>
        </w:rPr>
      </w:pPr>
      <w:r w:rsidRPr="00640151">
        <w:rPr>
          <w:rFonts w:ascii="Times New Roman" w:hAnsi="Times New Roman"/>
          <w:b/>
          <w:sz w:val="20"/>
          <w:szCs w:val="20"/>
        </w:rPr>
        <w:t>Tabela nr 12</w:t>
      </w:r>
      <w:r w:rsidRPr="00640151">
        <w:rPr>
          <w:rFonts w:ascii="Times New Roman" w:hAnsi="Times New Roman"/>
          <w:i/>
          <w:sz w:val="20"/>
          <w:szCs w:val="20"/>
        </w:rPr>
        <w:t xml:space="preserve"> Projekty w podziale na Sekcje PKD – Wielkość przedsiębiorstwa</w:t>
      </w:r>
    </w:p>
    <w:p w:rsidR="008347E9" w:rsidRPr="004564DF" w:rsidRDefault="009364F5" w:rsidP="008347E9">
      <w:pPr>
        <w:jc w:val="center"/>
        <w:rPr>
          <w:rFonts w:ascii="Times New Roman" w:hAnsi="Times New Roman"/>
          <w:sz w:val="24"/>
          <w:szCs w:val="24"/>
        </w:rPr>
      </w:pPr>
      <w:r w:rsidRPr="009364F5">
        <w:rPr>
          <w:noProof/>
          <w:lang w:eastAsia="pl-PL"/>
        </w:rPr>
        <w:drawing>
          <wp:inline distT="0" distB="0" distL="0" distR="0">
            <wp:extent cx="9629772" cy="4124325"/>
            <wp:effectExtent l="0" t="0" r="0" b="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7725" cy="412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4D6" w:rsidRPr="004564DF" w:rsidRDefault="00F904D6" w:rsidP="004564DF">
      <w:pPr>
        <w:pStyle w:val="Nagwek1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bookmarkStart w:id="18" w:name="_Toc356809932"/>
      <w:r w:rsidRPr="004564DF">
        <w:rPr>
          <w:rFonts w:ascii="Times New Roman" w:hAnsi="Times New Roman"/>
          <w:sz w:val="24"/>
          <w:szCs w:val="24"/>
        </w:rPr>
        <w:lastRenderedPageBreak/>
        <w:t xml:space="preserve">Analiza realizacji założeń finansowych </w:t>
      </w:r>
      <w:r w:rsidR="000E5D98" w:rsidRPr="004564DF">
        <w:rPr>
          <w:rFonts w:ascii="Times New Roman" w:hAnsi="Times New Roman"/>
          <w:sz w:val="24"/>
          <w:szCs w:val="24"/>
        </w:rPr>
        <w:t>projektów</w:t>
      </w:r>
      <w:bookmarkEnd w:id="18"/>
    </w:p>
    <w:p w:rsidR="00F904D6" w:rsidRPr="004564DF" w:rsidRDefault="00F904D6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</w:t>
      </w:r>
      <w:r w:rsidR="000E5D9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a potrzeby niniejszej analizy zweryfikowano w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jakim stopniu przedsiębiorcy realizują założenia finansowe projektu. W tym celu weryfikacji zostały poddane wszystkie zakończone i rozliczone projekty, których do dnia 31.12.2012 r.  było 1949.</w:t>
      </w:r>
      <w:r w:rsidR="000E5D9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Za wartość bazową przyjęto wartości projektów oraz dofinansowania przedstawione przez przedsiębiorców w pierwszych </w:t>
      </w:r>
      <w:r w:rsidR="00C6193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złożonych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wersjach wniosków o dofinansowanie</w:t>
      </w:r>
      <w:r w:rsidR="000E5D9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Z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kolei ostateczna wartość zarówno całego projektu jak i dofinansowania w ramach RPO WSL, dla celów niniejszej analizy została wygenerowana na podstawie protokołów </w:t>
      </w:r>
      <w:r w:rsidR="000E5D9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na zakończenie realizacji projektów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191026" w:rsidRPr="004564DF" w:rsidRDefault="009364F5" w:rsidP="009364F5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6048375" cy="3343275"/>
            <wp:effectExtent l="0" t="0" r="0" b="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268" cy="3347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1026" w:rsidRPr="00640151" w:rsidRDefault="0057252D" w:rsidP="004564DF">
      <w:pPr>
        <w:spacing w:before="120" w:after="0"/>
        <w:jc w:val="both"/>
        <w:rPr>
          <w:rFonts w:ascii="Times New Roman" w:hAnsi="Times New Roman"/>
          <w:i/>
          <w:sz w:val="20"/>
          <w:szCs w:val="20"/>
        </w:rPr>
      </w:pPr>
      <w:r w:rsidRPr="00640151">
        <w:rPr>
          <w:rFonts w:ascii="Times New Roman" w:hAnsi="Times New Roman"/>
          <w:b/>
          <w:sz w:val="20"/>
          <w:szCs w:val="20"/>
        </w:rPr>
        <w:t>Wykres nr 39</w:t>
      </w:r>
      <w:r w:rsidR="00A117D9" w:rsidRPr="00640151">
        <w:rPr>
          <w:rFonts w:ascii="Times New Roman" w:hAnsi="Times New Roman"/>
          <w:i/>
          <w:sz w:val="20"/>
          <w:szCs w:val="20"/>
        </w:rPr>
        <w:t xml:space="preserve"> Realizacja założeń finansowych projektów </w:t>
      </w:r>
      <w:r w:rsidR="00191026" w:rsidRPr="00640151">
        <w:rPr>
          <w:rFonts w:ascii="Times New Roman" w:hAnsi="Times New Roman"/>
          <w:i/>
          <w:sz w:val="20"/>
          <w:szCs w:val="20"/>
        </w:rPr>
        <w:t>dofinansowanych w ramach RPO WS</w:t>
      </w:r>
      <w:r w:rsidR="00640151" w:rsidRPr="00640151">
        <w:rPr>
          <w:rFonts w:ascii="Times New Roman" w:hAnsi="Times New Roman"/>
          <w:i/>
          <w:sz w:val="20"/>
          <w:szCs w:val="20"/>
        </w:rPr>
        <w:t>L</w:t>
      </w:r>
    </w:p>
    <w:p w:rsidR="008347E9" w:rsidRDefault="008347E9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</w:p>
    <w:p w:rsidR="00F904D6" w:rsidRPr="004564DF" w:rsidRDefault="00F904D6" w:rsidP="004564DF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Całkowita wartość projektów zgodnie z wnioskami o dofinansowanie to </w:t>
      </w:r>
      <w:r w:rsidR="00C6193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260 103 161,38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ml</w:t>
      </w:r>
      <w:r w:rsidR="00A117D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C6193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 Po ostatecznym rozliczeniu projektów, które zostały poddane analizie wynika, iż całkowita wartość projektów wzrosła o</w:t>
      </w:r>
      <w:r w:rsidR="000E5D9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 </w:t>
      </w:r>
      <w:r w:rsidR="00C6193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3 387 723,46 </w:t>
      </w:r>
      <w:r w:rsidR="00A117D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mln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="00C6193E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 (1,30</w:t>
      </w:r>
      <w:r w:rsidR="00A117D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%).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Największa zmiana </w:t>
      </w:r>
      <w:r w:rsidR="000E5D9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wartości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projektów miała miejsce 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lastRenderedPageBreak/>
        <w:t>w przypadku Poddziałania 3.2.1. Infrastruktura okołoturystyczna/</w:t>
      </w:r>
      <w:r w:rsidR="000E5D98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przedsiębiorcy, gdzie ostatecznie wartość projektów wzrosła o ponad </w:t>
      </w:r>
      <w:r w:rsidR="002D7F1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33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% (ponad </w:t>
      </w:r>
      <w:r w:rsidR="002D7F1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3,6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mln </w:t>
      </w:r>
      <w:r w:rsidR="002D7F1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). Znaczący spadek wartości projektów w stosunku do wartości deklarowanej odnotowano w projektach realizowanych w ramach Poddziałania 1.2.4 Mikro, małe i średnie przedsiębiorstwa. Ich wartość spadła o ponad 3,5% co przekłada się na sumę </w:t>
      </w:r>
      <w:r w:rsidR="002D7F1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blisko 2,4 mln 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.</w:t>
      </w:r>
    </w:p>
    <w:p w:rsidR="00A117D9" w:rsidRDefault="00F904D6" w:rsidP="00640151">
      <w:pPr>
        <w:spacing w:before="100" w:beforeAutospacing="1" w:after="1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Z kolei wartość całkowita dofinansowania zgodnie z wnioskami o dofinansowanie to </w:t>
      </w:r>
      <w:r w:rsidR="002D7F1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111 487 631,34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mln </w:t>
      </w:r>
      <w:r w:rsidR="002D7F1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Po ostatecznym rozliczeniu projektów, całkowita wartość dofinansowania zmalała </w:t>
      </w:r>
      <w:r w:rsidR="002D7F1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8 503 214,79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mln </w:t>
      </w:r>
      <w:r w:rsidR="002D7F1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EUR</w:t>
      </w:r>
      <w:r w:rsidR="00A117D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 (</w:t>
      </w:r>
      <w:r w:rsidR="002D7F1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7,63%). 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Największy spadek w stosunku do wnioskowanego dofinansowania odnotowujemy w przypadku Poddziałania 1.2.4 Mikro, małe i średnie przedsiębiorstwa, blisko 1</w:t>
      </w:r>
      <w:r w:rsidR="002D7F1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1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%. Z kolei najmniejszy spadek </w:t>
      </w:r>
      <w:r w:rsidR="00A117D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o </w:t>
      </w:r>
      <w:r w:rsidR="002D7F12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4,97% </w:t>
      </w:r>
      <w:r w:rsidR="00A117D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wystąpił w </w:t>
      </w:r>
      <w:r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>Poddziałaniu 1.2.3 Innowacje w mikro, małych i średnich przedsiębiorstwach</w:t>
      </w:r>
      <w:r w:rsidR="00A117D9" w:rsidRPr="004564DF"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t xml:space="preserve">. </w:t>
      </w:r>
    </w:p>
    <w:p w:rsidR="008347E9" w:rsidRDefault="008347E9" w:rsidP="008347E9">
      <w:pPr>
        <w:spacing w:before="100" w:beforeAutospacing="1" w:after="120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  <w:lang w:eastAsia="pl-PL"/>
        </w:rPr>
        <w:drawing>
          <wp:inline distT="0" distB="0" distL="0" distR="0">
            <wp:extent cx="6193790" cy="3590925"/>
            <wp:effectExtent l="0" t="0" r="0" b="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790" cy="359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47E9" w:rsidRPr="008347E9" w:rsidRDefault="008347E9" w:rsidP="008347E9">
      <w:pPr>
        <w:jc w:val="both"/>
        <w:rPr>
          <w:rFonts w:ascii="Times New Roman" w:eastAsia="Times New Roman" w:hAnsi="Times New Roman"/>
          <w:color w:val="000000"/>
          <w:sz w:val="20"/>
          <w:szCs w:val="20"/>
          <w:lang w:eastAsia="pl-PL"/>
        </w:rPr>
      </w:pPr>
      <w:r w:rsidRPr="008347E9">
        <w:rPr>
          <w:rFonts w:ascii="Times New Roman" w:eastAsia="Times New Roman" w:hAnsi="Times New Roman"/>
          <w:b/>
          <w:color w:val="000000"/>
          <w:sz w:val="20"/>
          <w:szCs w:val="20"/>
          <w:lang w:eastAsia="pl-PL"/>
        </w:rPr>
        <w:t>Wykres nr 40</w:t>
      </w:r>
      <w:r w:rsidRPr="008347E9">
        <w:rPr>
          <w:rFonts w:ascii="Times New Roman" w:eastAsia="Times New Roman" w:hAnsi="Times New Roman"/>
          <w:color w:val="000000"/>
          <w:sz w:val="20"/>
          <w:szCs w:val="20"/>
          <w:lang w:eastAsia="pl-PL"/>
        </w:rPr>
        <w:t xml:space="preserve"> Realizacja założeń finansowych projektów dofinansowanych w ramach RPO WSL – Poddziałanie 1.2.1 Mikroprzedsiębiorstwa</w:t>
      </w:r>
    </w:p>
    <w:p w:rsidR="008347E9" w:rsidRPr="00640151" w:rsidRDefault="008347E9" w:rsidP="008347E9">
      <w:pPr>
        <w:spacing w:before="100" w:beforeAutospacing="1" w:after="120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pl-PL"/>
        </w:rPr>
        <w:sectPr w:rsidR="008347E9" w:rsidRPr="00640151" w:rsidSect="001235C6">
          <w:pgSz w:w="16838" w:h="11906" w:orient="landscape"/>
          <w:pgMar w:top="1134" w:right="851" w:bottom="1134" w:left="851" w:header="709" w:footer="0" w:gutter="0"/>
          <w:cols w:space="708"/>
          <w:titlePg/>
          <w:docGrid w:linePitch="360"/>
        </w:sectPr>
      </w:pPr>
    </w:p>
    <w:p w:rsidR="009364F5" w:rsidRPr="004564DF" w:rsidRDefault="009364F5" w:rsidP="004564DF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980E86" w:rsidRPr="004564DF" w:rsidRDefault="009364F5" w:rsidP="00640151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6191250" cy="3533775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932" cy="3538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0E86" w:rsidRPr="004564DF" w:rsidRDefault="00980E86" w:rsidP="004564DF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980E86" w:rsidRPr="00640151" w:rsidRDefault="00980E86" w:rsidP="004564DF">
      <w:pPr>
        <w:spacing w:after="0"/>
        <w:jc w:val="both"/>
        <w:rPr>
          <w:rFonts w:ascii="Times New Roman" w:hAnsi="Times New Roman"/>
          <w:i/>
          <w:sz w:val="20"/>
          <w:szCs w:val="20"/>
        </w:rPr>
      </w:pPr>
      <w:r w:rsidRPr="00640151">
        <w:rPr>
          <w:rFonts w:ascii="Times New Roman" w:hAnsi="Times New Roman"/>
          <w:b/>
          <w:sz w:val="20"/>
          <w:szCs w:val="20"/>
        </w:rPr>
        <w:t xml:space="preserve">Wykres nr </w:t>
      </w:r>
      <w:r w:rsidR="0057252D" w:rsidRPr="00640151">
        <w:rPr>
          <w:rFonts w:ascii="Times New Roman" w:hAnsi="Times New Roman"/>
          <w:b/>
          <w:sz w:val="20"/>
          <w:szCs w:val="20"/>
        </w:rPr>
        <w:t>41</w:t>
      </w:r>
      <w:r w:rsidRPr="00640151">
        <w:rPr>
          <w:rFonts w:ascii="Times New Roman" w:hAnsi="Times New Roman"/>
          <w:i/>
          <w:sz w:val="20"/>
          <w:szCs w:val="20"/>
        </w:rPr>
        <w:t xml:space="preserve"> Realizacja założeń finansowych projektów dofinansowanych w ramach RPO WSL – Poddziałanie 1.2.2 MŚP</w:t>
      </w:r>
    </w:p>
    <w:p w:rsidR="00F904D6" w:rsidRDefault="00F904D6" w:rsidP="00640151">
      <w:pPr>
        <w:jc w:val="center"/>
        <w:rPr>
          <w:rFonts w:ascii="Times New Roman" w:hAnsi="Times New Roman"/>
          <w:sz w:val="24"/>
          <w:szCs w:val="24"/>
        </w:rPr>
      </w:pPr>
    </w:p>
    <w:p w:rsidR="009364F5" w:rsidRPr="004564DF" w:rsidRDefault="009364F5" w:rsidP="00640151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6172200" cy="333375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096" cy="333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0E86" w:rsidRPr="00640151" w:rsidRDefault="00980E86" w:rsidP="004564DF">
      <w:pPr>
        <w:spacing w:after="0"/>
        <w:jc w:val="both"/>
        <w:rPr>
          <w:rFonts w:ascii="Times New Roman" w:hAnsi="Times New Roman"/>
          <w:i/>
          <w:sz w:val="20"/>
          <w:szCs w:val="20"/>
        </w:rPr>
      </w:pPr>
      <w:r w:rsidRPr="00640151">
        <w:rPr>
          <w:rFonts w:ascii="Times New Roman" w:hAnsi="Times New Roman"/>
          <w:b/>
          <w:sz w:val="20"/>
          <w:szCs w:val="20"/>
        </w:rPr>
        <w:t xml:space="preserve">Wykres nr </w:t>
      </w:r>
      <w:r w:rsidR="0057252D" w:rsidRPr="00640151">
        <w:rPr>
          <w:rFonts w:ascii="Times New Roman" w:hAnsi="Times New Roman"/>
          <w:b/>
          <w:sz w:val="20"/>
          <w:szCs w:val="20"/>
        </w:rPr>
        <w:t>42</w:t>
      </w:r>
      <w:r w:rsidRPr="00640151">
        <w:rPr>
          <w:rFonts w:ascii="Times New Roman" w:hAnsi="Times New Roman"/>
          <w:sz w:val="20"/>
          <w:szCs w:val="20"/>
        </w:rPr>
        <w:t xml:space="preserve"> </w:t>
      </w:r>
      <w:r w:rsidRPr="00640151">
        <w:rPr>
          <w:rFonts w:ascii="Times New Roman" w:hAnsi="Times New Roman"/>
          <w:i/>
          <w:sz w:val="20"/>
          <w:szCs w:val="20"/>
        </w:rPr>
        <w:t>Realizacja założeń finansowych projektów dofinansowanych w ramach RPO WSL – Poddziałanie 1.2.3 Innowacje w mikroprzedsiębiorstwach i MŚP</w:t>
      </w:r>
    </w:p>
    <w:p w:rsidR="00980E86" w:rsidRPr="004564DF" w:rsidRDefault="00980E86" w:rsidP="004564DF">
      <w:pPr>
        <w:tabs>
          <w:tab w:val="left" w:pos="3420"/>
        </w:tabs>
        <w:ind w:left="1560"/>
        <w:jc w:val="both"/>
        <w:rPr>
          <w:rFonts w:ascii="Times New Roman" w:hAnsi="Times New Roman"/>
          <w:sz w:val="24"/>
          <w:szCs w:val="24"/>
        </w:rPr>
      </w:pPr>
    </w:p>
    <w:p w:rsidR="00980E86" w:rsidRPr="004564DF" w:rsidRDefault="009364F5" w:rsidP="00640151">
      <w:pPr>
        <w:tabs>
          <w:tab w:val="left" w:pos="342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229349" cy="3552825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228" cy="3552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04D6" w:rsidRPr="00640151" w:rsidRDefault="00F904D6" w:rsidP="004564DF">
      <w:pPr>
        <w:spacing w:after="0"/>
        <w:jc w:val="both"/>
        <w:rPr>
          <w:rFonts w:ascii="Times New Roman" w:hAnsi="Times New Roman"/>
          <w:i/>
          <w:sz w:val="20"/>
          <w:szCs w:val="20"/>
        </w:rPr>
      </w:pPr>
      <w:r w:rsidRPr="00640151">
        <w:rPr>
          <w:rFonts w:ascii="Times New Roman" w:hAnsi="Times New Roman"/>
          <w:b/>
          <w:sz w:val="20"/>
          <w:szCs w:val="20"/>
        </w:rPr>
        <w:t xml:space="preserve">Wykres nr </w:t>
      </w:r>
      <w:r w:rsidR="0057252D" w:rsidRPr="00640151">
        <w:rPr>
          <w:rFonts w:ascii="Times New Roman" w:hAnsi="Times New Roman"/>
          <w:b/>
          <w:sz w:val="20"/>
          <w:szCs w:val="20"/>
        </w:rPr>
        <w:t>43</w:t>
      </w:r>
      <w:r w:rsidRPr="00640151">
        <w:rPr>
          <w:rFonts w:ascii="Times New Roman" w:hAnsi="Times New Roman"/>
          <w:i/>
          <w:sz w:val="20"/>
          <w:szCs w:val="20"/>
        </w:rPr>
        <w:t xml:space="preserve"> Realizacja założeń finansowych projektów dofinansowanych w ramach RPO WSL – Poddziałanie 1.2.4 Mikro, małe i średnie przedsiębiorstwa</w:t>
      </w:r>
    </w:p>
    <w:p w:rsidR="00F904D6" w:rsidRPr="004564DF" w:rsidRDefault="00F904D6" w:rsidP="004564DF">
      <w:pPr>
        <w:tabs>
          <w:tab w:val="left" w:pos="3420"/>
        </w:tabs>
        <w:jc w:val="both"/>
        <w:rPr>
          <w:rFonts w:ascii="Times New Roman" w:hAnsi="Times New Roman"/>
          <w:sz w:val="24"/>
          <w:szCs w:val="24"/>
        </w:rPr>
      </w:pPr>
    </w:p>
    <w:p w:rsidR="00F904D6" w:rsidRDefault="00F904D6" w:rsidP="00640151">
      <w:pPr>
        <w:tabs>
          <w:tab w:val="left" w:pos="3420"/>
        </w:tabs>
        <w:jc w:val="center"/>
        <w:rPr>
          <w:rFonts w:ascii="Times New Roman" w:hAnsi="Times New Roman"/>
          <w:sz w:val="24"/>
          <w:szCs w:val="24"/>
        </w:rPr>
      </w:pPr>
    </w:p>
    <w:p w:rsidR="00F904D6" w:rsidRPr="008347E9" w:rsidRDefault="009364F5" w:rsidP="008347E9">
      <w:pPr>
        <w:tabs>
          <w:tab w:val="left" w:pos="342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6457950" cy="3876675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358" cy="38823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904D6" w:rsidRPr="00640151">
        <w:rPr>
          <w:rFonts w:ascii="Times New Roman" w:hAnsi="Times New Roman"/>
          <w:b/>
          <w:sz w:val="20"/>
          <w:szCs w:val="20"/>
        </w:rPr>
        <w:t xml:space="preserve">Wykres nr </w:t>
      </w:r>
      <w:r w:rsidR="0057252D" w:rsidRPr="00640151">
        <w:rPr>
          <w:rFonts w:ascii="Times New Roman" w:hAnsi="Times New Roman"/>
          <w:b/>
          <w:sz w:val="20"/>
          <w:szCs w:val="20"/>
        </w:rPr>
        <w:t>44</w:t>
      </w:r>
      <w:r w:rsidR="00F904D6" w:rsidRPr="00640151">
        <w:rPr>
          <w:rFonts w:ascii="Times New Roman" w:hAnsi="Times New Roman"/>
          <w:i/>
          <w:sz w:val="20"/>
          <w:szCs w:val="20"/>
        </w:rPr>
        <w:t xml:space="preserve"> Realizacja założeń finansowych projektów dofinansowanych w ramach RPO WSL – Poddziałanie 3.1.1 Infrastruktura zaplecza turystycznego/przedsiębiorstwa</w:t>
      </w:r>
    </w:p>
    <w:p w:rsidR="009364F5" w:rsidRDefault="009364F5" w:rsidP="004564DF">
      <w:pPr>
        <w:spacing w:after="0"/>
        <w:jc w:val="both"/>
        <w:rPr>
          <w:rFonts w:ascii="Times New Roman" w:hAnsi="Times New Roman"/>
          <w:i/>
          <w:sz w:val="20"/>
          <w:szCs w:val="20"/>
        </w:rPr>
      </w:pPr>
    </w:p>
    <w:p w:rsidR="009364F5" w:rsidRPr="00640151" w:rsidRDefault="009364F5" w:rsidP="004564DF">
      <w:pPr>
        <w:spacing w:after="0"/>
        <w:jc w:val="both"/>
        <w:rPr>
          <w:rFonts w:ascii="Times New Roman" w:hAnsi="Times New Roman"/>
          <w:i/>
          <w:sz w:val="20"/>
          <w:szCs w:val="20"/>
        </w:rPr>
      </w:pPr>
    </w:p>
    <w:p w:rsidR="00980E86" w:rsidRPr="004564DF" w:rsidRDefault="009364F5" w:rsidP="004564DF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6457950" cy="3419475"/>
            <wp:effectExtent l="0" t="0" r="0" b="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0258" cy="34206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04D6" w:rsidRPr="004564DF" w:rsidRDefault="00F904D6" w:rsidP="004564DF">
      <w:pPr>
        <w:jc w:val="both"/>
        <w:rPr>
          <w:rFonts w:ascii="Times New Roman" w:hAnsi="Times New Roman"/>
          <w:noProof/>
          <w:sz w:val="24"/>
          <w:szCs w:val="24"/>
          <w:lang w:eastAsia="pl-PL"/>
        </w:rPr>
      </w:pPr>
    </w:p>
    <w:p w:rsidR="0070091F" w:rsidRPr="00640151" w:rsidRDefault="00980E86" w:rsidP="004564DF">
      <w:pPr>
        <w:spacing w:after="0"/>
        <w:jc w:val="both"/>
        <w:rPr>
          <w:rFonts w:ascii="Times New Roman" w:hAnsi="Times New Roman"/>
          <w:i/>
          <w:sz w:val="20"/>
          <w:szCs w:val="20"/>
        </w:rPr>
      </w:pPr>
      <w:r w:rsidRPr="00640151">
        <w:rPr>
          <w:rFonts w:ascii="Times New Roman" w:hAnsi="Times New Roman"/>
          <w:b/>
          <w:sz w:val="20"/>
          <w:szCs w:val="20"/>
        </w:rPr>
        <w:t>Wykres nr 4</w:t>
      </w:r>
      <w:r w:rsidR="0057252D" w:rsidRPr="00640151">
        <w:rPr>
          <w:rFonts w:ascii="Times New Roman" w:hAnsi="Times New Roman"/>
          <w:b/>
          <w:sz w:val="20"/>
          <w:szCs w:val="20"/>
        </w:rPr>
        <w:t>5</w:t>
      </w:r>
      <w:r w:rsidRPr="00640151">
        <w:rPr>
          <w:rFonts w:ascii="Times New Roman" w:hAnsi="Times New Roman"/>
          <w:i/>
          <w:sz w:val="20"/>
          <w:szCs w:val="20"/>
        </w:rPr>
        <w:t xml:space="preserve"> Realizacja założeń finansowych projektów dofinansowanych w ramach RPO WSL – Poddziałanie 3.2.1 Infrastruktura okołoturystyczna/ przedsiębiorstwa</w:t>
      </w:r>
    </w:p>
    <w:sectPr w:rsidR="0070091F" w:rsidRPr="00640151" w:rsidSect="00885A95">
      <w:pgSz w:w="11906" w:h="16838"/>
      <w:pgMar w:top="1418" w:right="1276" w:bottom="1418" w:left="992" w:header="709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51E7A" w:rsidRDefault="00751E7A" w:rsidP="002F6F50">
      <w:pPr>
        <w:spacing w:after="0" w:line="240" w:lineRule="auto"/>
      </w:pPr>
      <w:r>
        <w:separator/>
      </w:r>
    </w:p>
  </w:endnote>
  <w:endnote w:type="continuationSeparator" w:id="0">
    <w:p w:rsidR="00751E7A" w:rsidRDefault="00751E7A" w:rsidP="002F6F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64F5" w:rsidRPr="00755478" w:rsidRDefault="00DC665F" w:rsidP="00755478">
    <w:pPr>
      <w:pStyle w:val="Stopka"/>
      <w:jc w:val="center"/>
      <w:rPr>
        <w:rFonts w:ascii="Times New Roman" w:hAnsi="Times New Roman"/>
        <w:sz w:val="20"/>
        <w:szCs w:val="20"/>
      </w:rPr>
    </w:pPr>
    <w:r w:rsidRPr="00755478">
      <w:rPr>
        <w:rFonts w:ascii="Times New Roman" w:hAnsi="Times New Roman"/>
        <w:sz w:val="20"/>
        <w:szCs w:val="20"/>
      </w:rPr>
      <w:fldChar w:fldCharType="begin"/>
    </w:r>
    <w:r w:rsidR="009364F5" w:rsidRPr="00755478">
      <w:rPr>
        <w:rFonts w:ascii="Times New Roman" w:hAnsi="Times New Roman"/>
        <w:sz w:val="20"/>
        <w:szCs w:val="20"/>
      </w:rPr>
      <w:instrText xml:space="preserve"> PAGE   \* MERGEFORMAT </w:instrText>
    </w:r>
    <w:r w:rsidRPr="00755478">
      <w:rPr>
        <w:rFonts w:ascii="Times New Roman" w:hAnsi="Times New Roman"/>
        <w:sz w:val="20"/>
        <w:szCs w:val="20"/>
      </w:rPr>
      <w:fldChar w:fldCharType="separate"/>
    </w:r>
    <w:r w:rsidR="00755478">
      <w:rPr>
        <w:rFonts w:ascii="Times New Roman" w:hAnsi="Times New Roman"/>
        <w:noProof/>
        <w:sz w:val="20"/>
        <w:szCs w:val="20"/>
      </w:rPr>
      <w:t>50</w:t>
    </w:r>
    <w:r w:rsidRPr="00755478">
      <w:rPr>
        <w:rFonts w:ascii="Times New Roman" w:hAnsi="Times New Roman"/>
        <w:sz w:val="20"/>
        <w:szCs w:val="20"/>
      </w:rPr>
      <w:fldChar w:fldCharType="end"/>
    </w:r>
  </w:p>
  <w:p w:rsidR="009364F5" w:rsidRPr="00074D3D" w:rsidRDefault="009364F5">
    <w:pPr>
      <w:pStyle w:val="Stopka"/>
      <w:jc w:val="right"/>
      <w:rPr>
        <w:rFonts w:ascii="Cambria" w:hAnsi="Cambria"/>
      </w:rPr>
    </w:pPr>
  </w:p>
  <w:p w:rsidR="009364F5" w:rsidRPr="002F6F50" w:rsidRDefault="009364F5">
    <w:pPr>
      <w:pStyle w:val="Stopka"/>
      <w:rPr>
        <w:sz w:val="6"/>
        <w:szCs w:val="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64F5" w:rsidRPr="00755478" w:rsidRDefault="00DC665F" w:rsidP="00755478">
    <w:pPr>
      <w:pStyle w:val="Stopka"/>
      <w:jc w:val="center"/>
      <w:rPr>
        <w:rFonts w:ascii="Times New Roman" w:hAnsi="Times New Roman"/>
        <w:sz w:val="20"/>
        <w:szCs w:val="20"/>
      </w:rPr>
    </w:pPr>
    <w:r w:rsidRPr="00755478">
      <w:rPr>
        <w:rFonts w:ascii="Times New Roman" w:hAnsi="Times New Roman"/>
        <w:sz w:val="20"/>
        <w:szCs w:val="20"/>
      </w:rPr>
      <w:fldChar w:fldCharType="begin"/>
    </w:r>
    <w:r w:rsidR="009364F5" w:rsidRPr="00755478">
      <w:rPr>
        <w:rFonts w:ascii="Times New Roman" w:hAnsi="Times New Roman"/>
        <w:sz w:val="20"/>
        <w:szCs w:val="20"/>
      </w:rPr>
      <w:instrText xml:space="preserve"> PAGE   \* MERGEFORMAT </w:instrText>
    </w:r>
    <w:r w:rsidRPr="00755478">
      <w:rPr>
        <w:rFonts w:ascii="Times New Roman" w:hAnsi="Times New Roman"/>
        <w:sz w:val="20"/>
        <w:szCs w:val="20"/>
      </w:rPr>
      <w:fldChar w:fldCharType="separate"/>
    </w:r>
    <w:r w:rsidR="00755478">
      <w:rPr>
        <w:rFonts w:ascii="Times New Roman" w:hAnsi="Times New Roman"/>
        <w:noProof/>
        <w:sz w:val="20"/>
        <w:szCs w:val="20"/>
      </w:rPr>
      <w:t>52</w:t>
    </w:r>
    <w:r w:rsidRPr="00755478">
      <w:rPr>
        <w:rFonts w:ascii="Times New Roman" w:hAnsi="Times New Roman"/>
        <w:noProof/>
        <w:sz w:val="20"/>
        <w:szCs w:val="20"/>
      </w:rPr>
      <w:fldChar w:fldCharType="end"/>
    </w:r>
  </w:p>
  <w:p w:rsidR="009364F5" w:rsidRPr="00C414F5" w:rsidRDefault="009364F5" w:rsidP="00C414F5">
    <w:pPr>
      <w:pStyle w:val="Stopka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51E7A" w:rsidRDefault="00751E7A" w:rsidP="002F6F50">
      <w:pPr>
        <w:spacing w:after="0" w:line="240" w:lineRule="auto"/>
      </w:pPr>
      <w:r>
        <w:separator/>
      </w:r>
    </w:p>
  </w:footnote>
  <w:footnote w:type="continuationSeparator" w:id="0">
    <w:p w:rsidR="00751E7A" w:rsidRDefault="00751E7A" w:rsidP="002F6F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64F5" w:rsidRDefault="009364F5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312AE1"/>
    <w:multiLevelType w:val="hybridMultilevel"/>
    <w:tmpl w:val="485099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4C195E"/>
    <w:multiLevelType w:val="hybridMultilevel"/>
    <w:tmpl w:val="B3124FE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>
    <w:nsid w:val="29491206"/>
    <w:multiLevelType w:val="hybridMultilevel"/>
    <w:tmpl w:val="CB5C42FC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FD146F"/>
    <w:multiLevelType w:val="hybridMultilevel"/>
    <w:tmpl w:val="3D8A4080"/>
    <w:lvl w:ilvl="0" w:tplc="B5CA9F1A">
      <w:start w:val="1"/>
      <w:numFmt w:val="decimal"/>
      <w:lvlText w:val="5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A77743"/>
    <w:multiLevelType w:val="multilevel"/>
    <w:tmpl w:val="58727596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1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5">
    <w:nsid w:val="42086390"/>
    <w:multiLevelType w:val="hybridMultilevel"/>
    <w:tmpl w:val="1730E08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B74C37"/>
    <w:multiLevelType w:val="hybridMultilevel"/>
    <w:tmpl w:val="4EC438B6"/>
    <w:lvl w:ilvl="0" w:tplc="0415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5734286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>
    <w:nsid w:val="5B5359C7"/>
    <w:multiLevelType w:val="hybridMultilevel"/>
    <w:tmpl w:val="D466F5E8"/>
    <w:lvl w:ilvl="0" w:tplc="0415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652C15CE"/>
    <w:multiLevelType w:val="hybridMultilevel"/>
    <w:tmpl w:val="5E50BC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824379"/>
    <w:multiLevelType w:val="hybridMultilevel"/>
    <w:tmpl w:val="9BCC83E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AFF7998"/>
    <w:multiLevelType w:val="hybridMultilevel"/>
    <w:tmpl w:val="FD460E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9D074D5"/>
    <w:multiLevelType w:val="hybridMultilevel"/>
    <w:tmpl w:val="D7D0E9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A1A0DE4"/>
    <w:multiLevelType w:val="hybridMultilevel"/>
    <w:tmpl w:val="220206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A543CEA"/>
    <w:multiLevelType w:val="hybridMultilevel"/>
    <w:tmpl w:val="49606C12"/>
    <w:lvl w:ilvl="0" w:tplc="0415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7AD3549E"/>
    <w:multiLevelType w:val="multilevel"/>
    <w:tmpl w:val="3D4E62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81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>
    <w:nsid w:val="7FA53294"/>
    <w:multiLevelType w:val="hybridMultilevel"/>
    <w:tmpl w:val="39468F2E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"/>
  </w:num>
  <w:num w:numId="3">
    <w:abstractNumId w:val="11"/>
  </w:num>
  <w:num w:numId="4">
    <w:abstractNumId w:val="9"/>
  </w:num>
  <w:num w:numId="5">
    <w:abstractNumId w:val="4"/>
  </w:num>
  <w:num w:numId="6">
    <w:abstractNumId w:val="12"/>
  </w:num>
  <w:num w:numId="7">
    <w:abstractNumId w:val="0"/>
  </w:num>
  <w:num w:numId="8">
    <w:abstractNumId w:val="2"/>
  </w:num>
  <w:num w:numId="9">
    <w:abstractNumId w:val="5"/>
  </w:num>
  <w:num w:numId="10">
    <w:abstractNumId w:val="13"/>
  </w:num>
  <w:num w:numId="11">
    <w:abstractNumId w:val="7"/>
  </w:num>
  <w:num w:numId="12">
    <w:abstractNumId w:val="3"/>
  </w:num>
  <w:num w:numId="13">
    <w:abstractNumId w:val="10"/>
  </w:num>
  <w:num w:numId="14">
    <w:abstractNumId w:val="16"/>
  </w:num>
  <w:num w:numId="15">
    <w:abstractNumId w:val="8"/>
  </w:num>
  <w:num w:numId="16">
    <w:abstractNumId w:val="6"/>
  </w:num>
  <w:num w:numId="17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242"/>
  </w:hdrShapeDefaults>
  <w:footnotePr>
    <w:footnote w:id="-1"/>
    <w:footnote w:id="0"/>
  </w:footnotePr>
  <w:endnotePr>
    <w:endnote w:id="-1"/>
    <w:endnote w:id="0"/>
  </w:endnotePr>
  <w:compat/>
  <w:rsids>
    <w:rsidRoot w:val="00C001BF"/>
    <w:rsid w:val="00001393"/>
    <w:rsid w:val="00006AF8"/>
    <w:rsid w:val="00012BD5"/>
    <w:rsid w:val="00013499"/>
    <w:rsid w:val="00025F7E"/>
    <w:rsid w:val="00030FC6"/>
    <w:rsid w:val="0003360F"/>
    <w:rsid w:val="00035D1A"/>
    <w:rsid w:val="00036BD8"/>
    <w:rsid w:val="00062F8D"/>
    <w:rsid w:val="00063113"/>
    <w:rsid w:val="00065EF8"/>
    <w:rsid w:val="00067931"/>
    <w:rsid w:val="0007471D"/>
    <w:rsid w:val="00074D3D"/>
    <w:rsid w:val="00082925"/>
    <w:rsid w:val="0008295B"/>
    <w:rsid w:val="000C5A8F"/>
    <w:rsid w:val="000E5553"/>
    <w:rsid w:val="000E5D98"/>
    <w:rsid w:val="000F6636"/>
    <w:rsid w:val="00100614"/>
    <w:rsid w:val="001006E0"/>
    <w:rsid w:val="001235C6"/>
    <w:rsid w:val="00133EFF"/>
    <w:rsid w:val="00155CB2"/>
    <w:rsid w:val="00177CE1"/>
    <w:rsid w:val="00185415"/>
    <w:rsid w:val="00191026"/>
    <w:rsid w:val="00192F66"/>
    <w:rsid w:val="001A05ED"/>
    <w:rsid w:val="001A7329"/>
    <w:rsid w:val="001B5122"/>
    <w:rsid w:val="001D4133"/>
    <w:rsid w:val="001E00FB"/>
    <w:rsid w:val="001E52C1"/>
    <w:rsid w:val="001F12E3"/>
    <w:rsid w:val="001F1F47"/>
    <w:rsid w:val="001F5E21"/>
    <w:rsid w:val="001F7CE2"/>
    <w:rsid w:val="0020324F"/>
    <w:rsid w:val="00204946"/>
    <w:rsid w:val="002249D4"/>
    <w:rsid w:val="0024705F"/>
    <w:rsid w:val="00255C41"/>
    <w:rsid w:val="0027111D"/>
    <w:rsid w:val="002717F9"/>
    <w:rsid w:val="00272379"/>
    <w:rsid w:val="00273C67"/>
    <w:rsid w:val="002750C0"/>
    <w:rsid w:val="00284352"/>
    <w:rsid w:val="00295857"/>
    <w:rsid w:val="002B344A"/>
    <w:rsid w:val="002C4D5D"/>
    <w:rsid w:val="002D5A27"/>
    <w:rsid w:val="002D7F12"/>
    <w:rsid w:val="002E6437"/>
    <w:rsid w:val="002F6F50"/>
    <w:rsid w:val="0030113D"/>
    <w:rsid w:val="0030253F"/>
    <w:rsid w:val="00303221"/>
    <w:rsid w:val="003032B6"/>
    <w:rsid w:val="00307A34"/>
    <w:rsid w:val="00316689"/>
    <w:rsid w:val="003420BD"/>
    <w:rsid w:val="00343BBF"/>
    <w:rsid w:val="00351CD8"/>
    <w:rsid w:val="00353AB4"/>
    <w:rsid w:val="0037203E"/>
    <w:rsid w:val="00373D27"/>
    <w:rsid w:val="00381102"/>
    <w:rsid w:val="00387C0B"/>
    <w:rsid w:val="00387CFB"/>
    <w:rsid w:val="00390C89"/>
    <w:rsid w:val="003B5827"/>
    <w:rsid w:val="003E14D7"/>
    <w:rsid w:val="003E7771"/>
    <w:rsid w:val="003F4219"/>
    <w:rsid w:val="003F56BB"/>
    <w:rsid w:val="004033AD"/>
    <w:rsid w:val="00411C5B"/>
    <w:rsid w:val="00415478"/>
    <w:rsid w:val="00425D5E"/>
    <w:rsid w:val="00432D67"/>
    <w:rsid w:val="00433B6F"/>
    <w:rsid w:val="00441C55"/>
    <w:rsid w:val="004564DF"/>
    <w:rsid w:val="00457D60"/>
    <w:rsid w:val="004660EF"/>
    <w:rsid w:val="00467E3B"/>
    <w:rsid w:val="00470528"/>
    <w:rsid w:val="00471FB5"/>
    <w:rsid w:val="00477933"/>
    <w:rsid w:val="00484373"/>
    <w:rsid w:val="0048579F"/>
    <w:rsid w:val="00493E11"/>
    <w:rsid w:val="00493F85"/>
    <w:rsid w:val="004A0091"/>
    <w:rsid w:val="004A05D7"/>
    <w:rsid w:val="004A2AD4"/>
    <w:rsid w:val="004A6137"/>
    <w:rsid w:val="004B3F6A"/>
    <w:rsid w:val="004B53DB"/>
    <w:rsid w:val="004B5FA8"/>
    <w:rsid w:val="004C16EA"/>
    <w:rsid w:val="004D5B3C"/>
    <w:rsid w:val="004E7E6E"/>
    <w:rsid w:val="00523336"/>
    <w:rsid w:val="0053018C"/>
    <w:rsid w:val="00544BAA"/>
    <w:rsid w:val="00566217"/>
    <w:rsid w:val="0057252D"/>
    <w:rsid w:val="005725E7"/>
    <w:rsid w:val="0057435B"/>
    <w:rsid w:val="0058733E"/>
    <w:rsid w:val="005910E3"/>
    <w:rsid w:val="00593F9D"/>
    <w:rsid w:val="00597585"/>
    <w:rsid w:val="005A006C"/>
    <w:rsid w:val="005A1790"/>
    <w:rsid w:val="005C3A22"/>
    <w:rsid w:val="005D2669"/>
    <w:rsid w:val="005F1F99"/>
    <w:rsid w:val="005F6497"/>
    <w:rsid w:val="006020F5"/>
    <w:rsid w:val="00611A80"/>
    <w:rsid w:val="00611DFC"/>
    <w:rsid w:val="00633A1F"/>
    <w:rsid w:val="00640151"/>
    <w:rsid w:val="006562AB"/>
    <w:rsid w:val="00662FB4"/>
    <w:rsid w:val="00663329"/>
    <w:rsid w:val="00670C4E"/>
    <w:rsid w:val="00675E73"/>
    <w:rsid w:val="0068643D"/>
    <w:rsid w:val="006B4B4D"/>
    <w:rsid w:val="006C32C7"/>
    <w:rsid w:val="006D52BE"/>
    <w:rsid w:val="0070091F"/>
    <w:rsid w:val="0070157F"/>
    <w:rsid w:val="007130C5"/>
    <w:rsid w:val="00723069"/>
    <w:rsid w:val="007242E7"/>
    <w:rsid w:val="00742640"/>
    <w:rsid w:val="007444F6"/>
    <w:rsid w:val="00751E7A"/>
    <w:rsid w:val="00755478"/>
    <w:rsid w:val="00755823"/>
    <w:rsid w:val="007569AA"/>
    <w:rsid w:val="007616FE"/>
    <w:rsid w:val="0076453F"/>
    <w:rsid w:val="007747A4"/>
    <w:rsid w:val="0077631E"/>
    <w:rsid w:val="00791C9A"/>
    <w:rsid w:val="00793DCF"/>
    <w:rsid w:val="007A5E9A"/>
    <w:rsid w:val="007B2423"/>
    <w:rsid w:val="007B307B"/>
    <w:rsid w:val="007C0C00"/>
    <w:rsid w:val="007D7865"/>
    <w:rsid w:val="0080286E"/>
    <w:rsid w:val="008055B8"/>
    <w:rsid w:val="008257BF"/>
    <w:rsid w:val="00832D5E"/>
    <w:rsid w:val="008347E9"/>
    <w:rsid w:val="0084480B"/>
    <w:rsid w:val="00844C94"/>
    <w:rsid w:val="00846D7F"/>
    <w:rsid w:val="00847B0C"/>
    <w:rsid w:val="00850D46"/>
    <w:rsid w:val="00850F79"/>
    <w:rsid w:val="00854832"/>
    <w:rsid w:val="00855C90"/>
    <w:rsid w:val="00862A9A"/>
    <w:rsid w:val="008713AA"/>
    <w:rsid w:val="00885A95"/>
    <w:rsid w:val="00886E10"/>
    <w:rsid w:val="00886E7E"/>
    <w:rsid w:val="00894F03"/>
    <w:rsid w:val="008B501E"/>
    <w:rsid w:val="008B596A"/>
    <w:rsid w:val="008E027E"/>
    <w:rsid w:val="008E5C4B"/>
    <w:rsid w:val="00910878"/>
    <w:rsid w:val="00917559"/>
    <w:rsid w:val="00923666"/>
    <w:rsid w:val="00924130"/>
    <w:rsid w:val="00927D7D"/>
    <w:rsid w:val="00933D58"/>
    <w:rsid w:val="009364F5"/>
    <w:rsid w:val="0093747A"/>
    <w:rsid w:val="00942197"/>
    <w:rsid w:val="00950B65"/>
    <w:rsid w:val="009553AD"/>
    <w:rsid w:val="00955813"/>
    <w:rsid w:val="0096729F"/>
    <w:rsid w:val="00980E86"/>
    <w:rsid w:val="00983140"/>
    <w:rsid w:val="009869F4"/>
    <w:rsid w:val="00991D3E"/>
    <w:rsid w:val="00991EE3"/>
    <w:rsid w:val="00995D2B"/>
    <w:rsid w:val="009A3AB6"/>
    <w:rsid w:val="009A494D"/>
    <w:rsid w:val="009B3EC7"/>
    <w:rsid w:val="009B582A"/>
    <w:rsid w:val="009C08BE"/>
    <w:rsid w:val="009D0FE5"/>
    <w:rsid w:val="009D722D"/>
    <w:rsid w:val="009F3674"/>
    <w:rsid w:val="00A04DA0"/>
    <w:rsid w:val="00A0715D"/>
    <w:rsid w:val="00A1075C"/>
    <w:rsid w:val="00A11000"/>
    <w:rsid w:val="00A117D9"/>
    <w:rsid w:val="00A15125"/>
    <w:rsid w:val="00A162E9"/>
    <w:rsid w:val="00A228C8"/>
    <w:rsid w:val="00A30BF2"/>
    <w:rsid w:val="00A326FB"/>
    <w:rsid w:val="00A34A01"/>
    <w:rsid w:val="00A35D55"/>
    <w:rsid w:val="00A41332"/>
    <w:rsid w:val="00A46275"/>
    <w:rsid w:val="00A550B5"/>
    <w:rsid w:val="00A618C7"/>
    <w:rsid w:val="00A6196C"/>
    <w:rsid w:val="00A73A39"/>
    <w:rsid w:val="00A967FB"/>
    <w:rsid w:val="00AA2586"/>
    <w:rsid w:val="00AB4633"/>
    <w:rsid w:val="00AC50B5"/>
    <w:rsid w:val="00AE4686"/>
    <w:rsid w:val="00AE6513"/>
    <w:rsid w:val="00AF0E89"/>
    <w:rsid w:val="00AF70AD"/>
    <w:rsid w:val="00B007EC"/>
    <w:rsid w:val="00B04118"/>
    <w:rsid w:val="00B12D2E"/>
    <w:rsid w:val="00B13510"/>
    <w:rsid w:val="00B16F85"/>
    <w:rsid w:val="00B214E3"/>
    <w:rsid w:val="00B30998"/>
    <w:rsid w:val="00B40D46"/>
    <w:rsid w:val="00B41233"/>
    <w:rsid w:val="00B435E7"/>
    <w:rsid w:val="00B469ED"/>
    <w:rsid w:val="00B93DFE"/>
    <w:rsid w:val="00B94DA9"/>
    <w:rsid w:val="00BA155C"/>
    <w:rsid w:val="00BA1661"/>
    <w:rsid w:val="00BA3CD8"/>
    <w:rsid w:val="00BA6C3C"/>
    <w:rsid w:val="00BC5CC8"/>
    <w:rsid w:val="00BD0BFC"/>
    <w:rsid w:val="00BE067D"/>
    <w:rsid w:val="00BE25D9"/>
    <w:rsid w:val="00BE6C0F"/>
    <w:rsid w:val="00BF01DB"/>
    <w:rsid w:val="00BF7536"/>
    <w:rsid w:val="00C001BF"/>
    <w:rsid w:val="00C01289"/>
    <w:rsid w:val="00C144C4"/>
    <w:rsid w:val="00C1702B"/>
    <w:rsid w:val="00C2448F"/>
    <w:rsid w:val="00C25F2B"/>
    <w:rsid w:val="00C414F5"/>
    <w:rsid w:val="00C44A80"/>
    <w:rsid w:val="00C478D8"/>
    <w:rsid w:val="00C50A8B"/>
    <w:rsid w:val="00C6193E"/>
    <w:rsid w:val="00C656F4"/>
    <w:rsid w:val="00C67ABD"/>
    <w:rsid w:val="00C85D4E"/>
    <w:rsid w:val="00CA5B06"/>
    <w:rsid w:val="00CA693E"/>
    <w:rsid w:val="00CC2BF0"/>
    <w:rsid w:val="00CC2C58"/>
    <w:rsid w:val="00CE2877"/>
    <w:rsid w:val="00D02CB6"/>
    <w:rsid w:val="00D06CD6"/>
    <w:rsid w:val="00D105CE"/>
    <w:rsid w:val="00D2432A"/>
    <w:rsid w:val="00D45344"/>
    <w:rsid w:val="00D51503"/>
    <w:rsid w:val="00D63C3F"/>
    <w:rsid w:val="00D77C7D"/>
    <w:rsid w:val="00DB424C"/>
    <w:rsid w:val="00DB46CF"/>
    <w:rsid w:val="00DB5D9E"/>
    <w:rsid w:val="00DC665F"/>
    <w:rsid w:val="00DD5637"/>
    <w:rsid w:val="00DD5E84"/>
    <w:rsid w:val="00DD7A56"/>
    <w:rsid w:val="00DE00D1"/>
    <w:rsid w:val="00DE67CB"/>
    <w:rsid w:val="00DF6232"/>
    <w:rsid w:val="00E0083C"/>
    <w:rsid w:val="00E00E41"/>
    <w:rsid w:val="00E0236D"/>
    <w:rsid w:val="00E169F3"/>
    <w:rsid w:val="00E22588"/>
    <w:rsid w:val="00E24CC2"/>
    <w:rsid w:val="00E7623F"/>
    <w:rsid w:val="00E93D2C"/>
    <w:rsid w:val="00E94DBD"/>
    <w:rsid w:val="00EA33EE"/>
    <w:rsid w:val="00EA7CAD"/>
    <w:rsid w:val="00EB6F45"/>
    <w:rsid w:val="00EC084A"/>
    <w:rsid w:val="00ED59FD"/>
    <w:rsid w:val="00ED7FB2"/>
    <w:rsid w:val="00EE1117"/>
    <w:rsid w:val="00F136C7"/>
    <w:rsid w:val="00F23F78"/>
    <w:rsid w:val="00F31FCC"/>
    <w:rsid w:val="00F44FC2"/>
    <w:rsid w:val="00F6217F"/>
    <w:rsid w:val="00F62B08"/>
    <w:rsid w:val="00F74D2F"/>
    <w:rsid w:val="00F8256C"/>
    <w:rsid w:val="00F904D6"/>
    <w:rsid w:val="00FC4161"/>
    <w:rsid w:val="00FC7536"/>
    <w:rsid w:val="00FE224A"/>
    <w:rsid w:val="00FF07B3"/>
    <w:rsid w:val="00FF70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24CC2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E67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A1790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DE67CB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link w:val="Nagwek2"/>
    <w:uiPriority w:val="9"/>
    <w:rsid w:val="005A1790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Bezodstpw">
    <w:name w:val="No Spacing"/>
    <w:link w:val="BezodstpwZnak"/>
    <w:uiPriority w:val="1"/>
    <w:qFormat/>
    <w:rsid w:val="00B13510"/>
    <w:rPr>
      <w:rFonts w:eastAsia="Times New Roman"/>
      <w:sz w:val="22"/>
      <w:szCs w:val="22"/>
      <w:lang w:eastAsia="en-US"/>
    </w:rPr>
  </w:style>
  <w:style w:type="character" w:customStyle="1" w:styleId="BezodstpwZnak">
    <w:name w:val="Bez odstępów Znak"/>
    <w:link w:val="Bezodstpw"/>
    <w:uiPriority w:val="1"/>
    <w:rsid w:val="00B13510"/>
    <w:rPr>
      <w:rFonts w:eastAsia="Times New Roman"/>
      <w:sz w:val="22"/>
      <w:szCs w:val="22"/>
      <w:lang w:val="pl-PL" w:eastAsia="en-US" w:bidi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13510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B13510"/>
    <w:rPr>
      <w:rFonts w:ascii="Tahoma" w:hAnsi="Tahoma" w:cs="Tahoma"/>
      <w:sz w:val="16"/>
      <w:szCs w:val="16"/>
      <w:lang w:eastAsia="en-US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DE67CB"/>
    <w:pPr>
      <w:keepLines/>
      <w:spacing w:before="480" w:after="0"/>
      <w:outlineLvl w:val="9"/>
    </w:pPr>
    <w:rPr>
      <w:color w:val="365F91"/>
      <w:kern w:val="0"/>
      <w:sz w:val="28"/>
      <w:szCs w:val="28"/>
    </w:rPr>
  </w:style>
  <w:style w:type="paragraph" w:styleId="Spistreci1">
    <w:name w:val="toc 1"/>
    <w:basedOn w:val="Normalny"/>
    <w:next w:val="Normalny"/>
    <w:autoRedefine/>
    <w:uiPriority w:val="39"/>
    <w:unhideWhenUsed/>
    <w:rsid w:val="00DE67CB"/>
  </w:style>
  <w:style w:type="character" w:styleId="Hipercze">
    <w:name w:val="Hyperlink"/>
    <w:uiPriority w:val="99"/>
    <w:unhideWhenUsed/>
    <w:rsid w:val="00DE67CB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F23F7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23F78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F23F78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23F78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F23F78"/>
    <w:rPr>
      <w:b/>
      <w:bCs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F23F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sid w:val="00F23F78"/>
    <w:rPr>
      <w:rFonts w:ascii="Calibri" w:eastAsia="Calibri" w:hAnsi="Calibri" w:cs="Times New Roman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F23F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sid w:val="00F23F78"/>
    <w:rPr>
      <w:rFonts w:ascii="Calibri" w:eastAsia="Calibri" w:hAnsi="Calibri" w:cs="Times New Roman"/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F23F78"/>
    <w:pPr>
      <w:ind w:left="720"/>
      <w:contextualSpacing/>
    </w:pPr>
  </w:style>
  <w:style w:type="paragraph" w:customStyle="1" w:styleId="Default">
    <w:name w:val="Default"/>
    <w:rsid w:val="00F23F78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93D2C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93D2C"/>
    <w:rPr>
      <w:lang w:eastAsia="en-US"/>
    </w:rPr>
  </w:style>
  <w:style w:type="character" w:styleId="Odwoanieprzypisukocowego">
    <w:name w:val="endnote reference"/>
    <w:uiPriority w:val="99"/>
    <w:semiHidden/>
    <w:unhideWhenUsed/>
    <w:rsid w:val="00E93D2C"/>
    <w:rPr>
      <w:vertAlign w:val="superscript"/>
    </w:rPr>
  </w:style>
  <w:style w:type="paragraph" w:styleId="Spistreci2">
    <w:name w:val="toc 2"/>
    <w:basedOn w:val="Normalny"/>
    <w:next w:val="Normalny"/>
    <w:autoRedefine/>
    <w:uiPriority w:val="39"/>
    <w:unhideWhenUsed/>
    <w:rsid w:val="0096729F"/>
    <w:pPr>
      <w:ind w:left="220"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991EE3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991EE3"/>
    <w:rPr>
      <w:lang w:eastAsia="en-US"/>
    </w:rPr>
  </w:style>
  <w:style w:type="character" w:styleId="Odwoanieprzypisudolnego">
    <w:name w:val="footnote reference"/>
    <w:uiPriority w:val="99"/>
    <w:semiHidden/>
    <w:unhideWhenUsed/>
    <w:rsid w:val="00991EE3"/>
    <w:rPr>
      <w:vertAlign w:val="superscript"/>
    </w:rPr>
  </w:style>
  <w:style w:type="paragraph" w:styleId="Spisilustracji">
    <w:name w:val="table of figures"/>
    <w:basedOn w:val="Normalny"/>
    <w:next w:val="Normalny"/>
    <w:uiPriority w:val="99"/>
    <w:semiHidden/>
    <w:unhideWhenUsed/>
    <w:rsid w:val="00991EE3"/>
    <w:rPr>
      <w:rFonts w:ascii="Cambria" w:hAnsi="Cambri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841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06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5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6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73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1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57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30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75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2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1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6.jpeg"/><Relationship Id="rId26" Type="http://schemas.openxmlformats.org/officeDocument/2006/relationships/chart" Target="charts/chart12.xml"/><Relationship Id="rId39" Type="http://schemas.openxmlformats.org/officeDocument/2006/relationships/chart" Target="charts/chart19.xml"/><Relationship Id="rId21" Type="http://schemas.openxmlformats.org/officeDocument/2006/relationships/chart" Target="charts/chart7.xml"/><Relationship Id="rId34" Type="http://schemas.openxmlformats.org/officeDocument/2006/relationships/chart" Target="charts/chart14.xml"/><Relationship Id="rId42" Type="http://schemas.openxmlformats.org/officeDocument/2006/relationships/chart" Target="charts/chart22.xml"/><Relationship Id="rId47" Type="http://schemas.openxmlformats.org/officeDocument/2006/relationships/chart" Target="charts/chart25.xml"/><Relationship Id="rId50" Type="http://schemas.openxmlformats.org/officeDocument/2006/relationships/image" Target="media/image13.png"/><Relationship Id="rId55" Type="http://schemas.openxmlformats.org/officeDocument/2006/relationships/image" Target="media/image18.png"/><Relationship Id="rId63" Type="http://schemas.openxmlformats.org/officeDocument/2006/relationships/image" Target="media/image26.png"/><Relationship Id="rId68" Type="http://schemas.openxmlformats.org/officeDocument/2006/relationships/image" Target="media/image31.png"/><Relationship Id="rId7" Type="http://schemas.openxmlformats.org/officeDocument/2006/relationships/endnotes" Target="endnotes.xml"/><Relationship Id="rId71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9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chart" Target="charts/chart10.xml"/><Relationship Id="rId32" Type="http://schemas.openxmlformats.org/officeDocument/2006/relationships/image" Target="media/image10.jpeg"/><Relationship Id="rId37" Type="http://schemas.openxmlformats.org/officeDocument/2006/relationships/chart" Target="charts/chart17.xml"/><Relationship Id="rId40" Type="http://schemas.openxmlformats.org/officeDocument/2006/relationships/chart" Target="charts/chart20.xml"/><Relationship Id="rId45" Type="http://schemas.openxmlformats.org/officeDocument/2006/relationships/chart" Target="charts/chart23.xml"/><Relationship Id="rId53" Type="http://schemas.openxmlformats.org/officeDocument/2006/relationships/image" Target="media/image16.png"/><Relationship Id="rId58" Type="http://schemas.openxmlformats.org/officeDocument/2006/relationships/image" Target="media/image21.emf"/><Relationship Id="rId66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chart" Target="charts/chart9.xml"/><Relationship Id="rId28" Type="http://schemas.openxmlformats.org/officeDocument/2006/relationships/header" Target="header1.xml"/><Relationship Id="rId36" Type="http://schemas.openxmlformats.org/officeDocument/2006/relationships/chart" Target="charts/chart16.xml"/><Relationship Id="rId49" Type="http://schemas.openxmlformats.org/officeDocument/2006/relationships/image" Target="media/image12.wmf"/><Relationship Id="rId57" Type="http://schemas.openxmlformats.org/officeDocument/2006/relationships/image" Target="media/image20.png"/><Relationship Id="rId61" Type="http://schemas.openxmlformats.org/officeDocument/2006/relationships/image" Target="media/image24.emf"/><Relationship Id="rId10" Type="http://schemas.openxmlformats.org/officeDocument/2006/relationships/image" Target="media/image3.jpeg"/><Relationship Id="rId19" Type="http://schemas.openxmlformats.org/officeDocument/2006/relationships/chart" Target="charts/chart5.xml"/><Relationship Id="rId31" Type="http://schemas.openxmlformats.org/officeDocument/2006/relationships/image" Target="media/image9.png"/><Relationship Id="rId44" Type="http://schemas.openxmlformats.org/officeDocument/2006/relationships/package" Target="embeddings/Arkusz_programu_Microsoft_Office_Excel1.xlsx"/><Relationship Id="rId52" Type="http://schemas.openxmlformats.org/officeDocument/2006/relationships/image" Target="media/image15.png"/><Relationship Id="rId60" Type="http://schemas.openxmlformats.org/officeDocument/2006/relationships/image" Target="media/image23.emf"/><Relationship Id="rId65" Type="http://schemas.openxmlformats.org/officeDocument/2006/relationships/image" Target="media/image28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chart" Target="charts/chart1.xml"/><Relationship Id="rId22" Type="http://schemas.openxmlformats.org/officeDocument/2006/relationships/chart" Target="charts/chart8.xml"/><Relationship Id="rId27" Type="http://schemas.openxmlformats.org/officeDocument/2006/relationships/footer" Target="footer2.xml"/><Relationship Id="rId30" Type="http://schemas.openxmlformats.org/officeDocument/2006/relationships/image" Target="media/image8.jpeg"/><Relationship Id="rId35" Type="http://schemas.openxmlformats.org/officeDocument/2006/relationships/chart" Target="charts/chart15.xml"/><Relationship Id="rId43" Type="http://schemas.openxmlformats.org/officeDocument/2006/relationships/image" Target="media/image11.emf"/><Relationship Id="rId48" Type="http://schemas.openxmlformats.org/officeDocument/2006/relationships/chart" Target="charts/chart26.xml"/><Relationship Id="rId56" Type="http://schemas.openxmlformats.org/officeDocument/2006/relationships/image" Target="media/image19.png"/><Relationship Id="rId64" Type="http://schemas.openxmlformats.org/officeDocument/2006/relationships/image" Target="media/image27.png"/><Relationship Id="rId69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14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chart" Target="charts/chart4.xml"/><Relationship Id="rId25" Type="http://schemas.openxmlformats.org/officeDocument/2006/relationships/chart" Target="charts/chart11.xml"/><Relationship Id="rId33" Type="http://schemas.openxmlformats.org/officeDocument/2006/relationships/chart" Target="charts/chart13.xml"/><Relationship Id="rId38" Type="http://schemas.openxmlformats.org/officeDocument/2006/relationships/chart" Target="charts/chart18.xml"/><Relationship Id="rId46" Type="http://schemas.openxmlformats.org/officeDocument/2006/relationships/chart" Target="charts/chart24.xml"/><Relationship Id="rId59" Type="http://schemas.openxmlformats.org/officeDocument/2006/relationships/image" Target="media/image22.emf"/><Relationship Id="rId67" Type="http://schemas.openxmlformats.org/officeDocument/2006/relationships/image" Target="media/image30.png"/><Relationship Id="rId20" Type="http://schemas.openxmlformats.org/officeDocument/2006/relationships/chart" Target="charts/chart6.xml"/><Relationship Id="rId41" Type="http://schemas.openxmlformats.org/officeDocument/2006/relationships/chart" Target="charts/chart21.xml"/><Relationship Id="rId54" Type="http://schemas.openxmlformats.org/officeDocument/2006/relationships/image" Target="media/image17.png"/><Relationship Id="rId62" Type="http://schemas.openxmlformats.org/officeDocument/2006/relationships/image" Target="media/image25.png"/><Relationship Id="rId7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Zeszyt1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subregiony\subregiony.xlsx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Documents%20and%20Settings\furgalskam\Pulpit\2013%20Analiza\subregiony\subregiony%20EURO.xlsx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Documents%20and%20Settings\furgalskam\Pulpit\2013%20Analiza\subregiony\subregiony%20EURO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typ%20projekt&#243;w\typ%20projekt&#243;w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typ%20projekt&#243;w\typ%20projekt&#243;w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typ%20projekt&#243;w\typ%20projekt&#243;w.xlsx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Documents%20and%20Settings\furgalskam\Pulpit\2013%20Analiza\typ%20projekt&#243;w\typ%20projekt&#243;w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Analiza\kategorie%20interwencji.xlsx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kategorie%20interwencji\kategorie%20interwencji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kategorie%20interwencji\kategorie%20interwencji.xlsx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Documents%20and%20Settings\furgalskam\Pulpit\2013%20Analiza\subregiony\subregiony.xlsx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Documents%20and%20Settings\furgalskam\Pulpit\2013%20Analiza\kategorie%20interwencji\kategorie%20interwencji.xlsx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Documents%20and%20Settings\furgalskam\Pulpit\2013%20Analiza\kategorie%20interwencji\kategorie%20interwencji.xlsx" TargetMode="External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wielko&#347;&#263;%20przedsi&#281;biorstw.xlsx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wielko&#347;&#263;%20przedsi&#281;biorstw.xlsx" TargetMode="Externa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wielko&#347;&#263;%20przedsi&#281;biorstw.xlsx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Documents%20and%20Settings\furgalskam\Pulpit\2013%20Analiza\wielko&#347;&#263;%20przedsi&#281;biorstw.xlsx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Documents%20and%20Settings\furgalskam\Pulpit\2013%20Analiza\wielko&#347;&#263;%20przedsi&#281;biorstw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subregiony\subregiony%20EURO.xlsx" TargetMode="Externa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Documents%20and%20Settings\furgalskam\Pulpit\2013%20Analiza\subregiony\subregiony%20EURO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subregiony\subregiony%20EURO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subregiony\subregiony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subregiony\subregiony%20EURO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urgalskam\Pulpit\2013%20Analiza\subregiony\subregiony.xlsx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Documents%20and%20Settings\furgalskam\Pulpit\2013%20Analiza\subregiony\subregiony%20EURO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Pr>
        <a:bodyPr/>
        <a:lstStyle/>
        <a:p>
          <a:pPr>
            <a:defRPr sz="1200"/>
          </a:pPr>
          <a:endParaRPr lang="pl-PL"/>
        </a:p>
      </c:txPr>
    </c:title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Arkusz1!$A$1</c:f>
              <c:strCache>
                <c:ptCount val="1"/>
                <c:pt idx="0">
                  <c:v>Udział % alokacji na poszczególne poddziałania RPO WSL skierowane do przedsiębiorców</c:v>
                </c:pt>
              </c:strCache>
            </c:strRef>
          </c:tx>
          <c:dLbls>
            <c:txPr>
              <a:bodyPr/>
              <a:lstStyle/>
              <a:p>
                <a:pPr>
                  <a:defRPr b="1"/>
                </a:pPr>
                <a:endParaRPr lang="pl-PL"/>
              </a:p>
            </c:txPr>
            <c:showVal val="1"/>
          </c:dLbls>
          <c:cat>
            <c:strRef>
              <c:f>Arkusz1!$A$2:$A$7</c:f>
              <c:strCache>
                <c:ptCount val="6"/>
                <c:pt idx="0">
                  <c:v>Poddziałanie 1.2.1</c:v>
                </c:pt>
                <c:pt idx="1">
                  <c:v>Poddziałanie 1.2.2</c:v>
                </c:pt>
                <c:pt idx="2">
                  <c:v>Poddziałanie 1.2.3</c:v>
                </c:pt>
                <c:pt idx="3">
                  <c:v>Poddziałanie 1.2.4</c:v>
                </c:pt>
                <c:pt idx="4">
                  <c:v>Poddziałanie 3.1.1</c:v>
                </c:pt>
                <c:pt idx="5">
                  <c:v>Poddziałanie 3.2.1</c:v>
                </c:pt>
              </c:strCache>
            </c:strRef>
          </c:cat>
          <c:val>
            <c:numRef>
              <c:f>Arkusz1!$C$2:$C$7</c:f>
              <c:numCache>
                <c:formatCode>0.00%</c:formatCode>
                <c:ptCount val="6"/>
                <c:pt idx="0">
                  <c:v>4.8374643827969403E-2</c:v>
                </c:pt>
                <c:pt idx="1">
                  <c:v>0.15698810781412975</c:v>
                </c:pt>
                <c:pt idx="2">
                  <c:v>0.28302918360523138</c:v>
                </c:pt>
                <c:pt idx="3">
                  <c:v>0.2798766814220765</c:v>
                </c:pt>
                <c:pt idx="4">
                  <c:v>0.14755545420773691</c:v>
                </c:pt>
                <c:pt idx="5">
                  <c:v>8.4175929122857762E-2</c:v>
                </c:pt>
              </c:numCache>
            </c:numRef>
          </c:val>
        </c:ser>
        <c:ser>
          <c:idx val="1"/>
          <c:order val="1"/>
          <c:tx>
            <c:strRef>
              <c:f>Arkusz1!$A$2:$A$7</c:f>
              <c:strCache>
                <c:ptCount val="1"/>
                <c:pt idx="0">
                  <c:v>Poddziałanie 1.2.1 Poddziałanie 1.2.2 Poddziałanie 1.2.3 Poddziałanie 1.2.4 Poddziałanie 3.1.1 Poddziałanie 3.2.1</c:v>
                </c:pt>
              </c:strCache>
            </c:strRef>
          </c:tx>
          <c:val>
            <c:numRef>
              <c:f>Arkusz1!$B$2:$B$7</c:f>
              <c:numCache>
                <c:formatCode>#,##0\ [$€-1]</c:formatCode>
                <c:ptCount val="6"/>
                <c:pt idx="0">
                  <c:v>11493700</c:v>
                </c:pt>
                <c:pt idx="1">
                  <c:v>37300000</c:v>
                </c:pt>
                <c:pt idx="2">
                  <c:v>67247059</c:v>
                </c:pt>
                <c:pt idx="3">
                  <c:v>66498032</c:v>
                </c:pt>
                <c:pt idx="4">
                  <c:v>35058824</c:v>
                </c:pt>
                <c:pt idx="5">
                  <c:v>20000000</c:v>
                </c:pt>
              </c:numCache>
            </c:numRef>
          </c:val>
        </c:ser>
      </c:pie3DChart>
    </c:plotArea>
    <c:legend>
      <c:legendPos val="r"/>
      <c:txPr>
        <a:bodyPr/>
        <a:lstStyle/>
        <a:p>
          <a:pPr rtl="0">
            <a:defRPr/>
          </a:pPr>
          <a:endParaRPr lang="pl-PL"/>
        </a:p>
      </c:txPr>
    </c:legend>
    <c:plotVisOnly val="1"/>
    <c:dispBlanksAs val="zero"/>
  </c:chart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style val="5"/>
  <c:chart>
    <c:title>
      <c:tx>
        <c:rich>
          <a:bodyPr/>
          <a:lstStyle/>
          <a:p>
            <a:pPr>
              <a:defRPr sz="1200" i="1">
                <a:latin typeface="Times New Roman" pitchFamily="18" charset="0"/>
                <a:cs typeface="Times New Roman" pitchFamily="18" charset="0"/>
              </a:defRPr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Liczba przedsiębiorstw z sektora MŚP przypadająca na 1 projekt</a:t>
            </a:r>
          </a:p>
        </c:rich>
      </c:tx>
    </c:title>
    <c:view3D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spPr>
            <a:solidFill>
              <a:schemeClr val="accent5">
                <a:lumMod val="60000"/>
                <a:lumOff val="40000"/>
              </a:schemeClr>
            </a:solidFill>
            <a:ln>
              <a:solidFill>
                <a:sysClr val="windowText" lastClr="000000"/>
              </a:solidFill>
            </a:ln>
          </c:spPr>
          <c:dLbls>
            <c:dLbl>
              <c:idx val="0"/>
              <c:layout>
                <c:manualLayout>
                  <c:x val="3.0188679245282967E-2"/>
                  <c:y val="-2.2535211267606003E-2"/>
                </c:manualLayout>
              </c:layout>
              <c:showVal val="1"/>
            </c:dLbl>
            <c:dLbl>
              <c:idx val="1"/>
              <c:layout>
                <c:manualLayout>
                  <c:x val="2.0125786163521998E-2"/>
                  <c:y val="-2.2535211267606003E-2"/>
                </c:manualLayout>
              </c:layout>
              <c:showVal val="1"/>
            </c:dLbl>
            <c:dLbl>
              <c:idx val="2"/>
              <c:layout>
                <c:manualLayout>
                  <c:x val="2.2641509433962412E-2"/>
                  <c:y val="-3.7558685446009404E-2"/>
                </c:manualLayout>
              </c:layout>
              <c:showVal val="1"/>
            </c:dLbl>
            <c:dLbl>
              <c:idx val="3"/>
              <c:layout>
                <c:manualLayout>
                  <c:x val="2.0125786163521998E-2"/>
                  <c:y val="-2.2535211267606003E-2"/>
                </c:manualLayout>
              </c:layout>
              <c:showVal val="1"/>
            </c:dLbl>
            <c:txPr>
              <a:bodyPr/>
              <a:lstStyle/>
              <a:p>
                <a:pPr>
                  <a:defRPr b="1"/>
                </a:pPr>
                <a:endParaRPr lang="pl-PL"/>
              </a:p>
            </c:txPr>
            <c:showVal val="1"/>
          </c:dLbls>
          <c:cat>
            <c:strRef>
              <c:f>'C:\Documents and Settings\furgalskam\Pulpit\Bazy\dane z ŚĆP\dane z ŚCP d\[opracowanie subregiony.xls]Subre'!$B$79:$E$79</c:f>
              <c:strCache>
                <c:ptCount val="4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</c:strCache>
            </c:strRef>
          </c:cat>
          <c:val>
            <c:numRef>
              <c:f>Obliczenia!$R$69:$U$69</c:f>
              <c:numCache>
                <c:formatCode>#,##0_ ;\-#,##0\ </c:formatCode>
                <c:ptCount val="4"/>
                <c:pt idx="0">
                  <c:v>189.50508474576193</c:v>
                </c:pt>
                <c:pt idx="1">
                  <c:v>159.27272727272728</c:v>
                </c:pt>
                <c:pt idx="2">
                  <c:v>152.31831831831934</c:v>
                </c:pt>
                <c:pt idx="3">
                  <c:v>185.95833333333476</c:v>
                </c:pt>
              </c:numCache>
            </c:numRef>
          </c:val>
        </c:ser>
        <c:shape val="box"/>
        <c:axId val="104245504"/>
        <c:axId val="104309504"/>
        <c:axId val="0"/>
      </c:bar3DChart>
      <c:catAx>
        <c:axId val="10424550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b="1"/>
            </a:pPr>
            <a:endParaRPr lang="pl-PL"/>
          </a:p>
        </c:txPr>
        <c:crossAx val="104309504"/>
        <c:crosses val="autoZero"/>
        <c:auto val="1"/>
        <c:lblAlgn val="ctr"/>
        <c:lblOffset val="100"/>
      </c:catAx>
      <c:valAx>
        <c:axId val="104309504"/>
        <c:scaling>
          <c:orientation val="minMax"/>
        </c:scaling>
        <c:axPos val="l"/>
        <c:majorGridlines/>
        <c:numFmt formatCode="#,##0_ ;\-#,##0\ " sourceLinked="1"/>
        <c:tickLblPos val="nextTo"/>
        <c:txPr>
          <a:bodyPr rot="0" vert="horz"/>
          <a:lstStyle/>
          <a:p>
            <a:pPr>
              <a:defRPr/>
            </a:pPr>
            <a:endParaRPr lang="pl-PL"/>
          </a:p>
        </c:txPr>
        <c:crossAx val="104245504"/>
        <c:crosses val="autoZero"/>
        <c:crossBetween val="between"/>
      </c:valAx>
    </c:plotArea>
    <c:plotVisOnly val="1"/>
    <c:dispBlanksAs val="gap"/>
  </c:chart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100" b="1" i="1" u="none" strike="noStrike" baseline="0">
                <a:solidFill>
                  <a:srgbClr val="000000"/>
                </a:solidFill>
                <a:latin typeface="Times New Roman" pitchFamily="18" charset="0"/>
                <a:ea typeface="Calibri"/>
                <a:cs typeface="Times New Roman" pitchFamily="18" charset="0"/>
              </a:defRPr>
            </a:pPr>
            <a:r>
              <a:rPr lang="pl-PL" sz="1100" b="1" i="1" u="none" strike="noStrike" baseline="0"/>
              <a:t>Średnie </a:t>
            </a:r>
            <a:r>
              <a:rPr lang="pl-PL" sz="1100" b="1" i="1" u="none" strike="noStrike" baseline="0">
                <a:latin typeface="Times New Roman" pitchFamily="18" charset="0"/>
                <a:cs typeface="Times New Roman" pitchFamily="18" charset="0"/>
              </a:rPr>
              <a:t>w</a:t>
            </a:r>
            <a:r>
              <a:rPr lang="pl-PL" i="1">
                <a:latin typeface="Times New Roman" pitchFamily="18" charset="0"/>
                <a:cs typeface="Times New Roman" pitchFamily="18" charset="0"/>
              </a:rPr>
              <a:t>artości dla umów  i wniosków o płatność w subregionach woj. śląskiego</a:t>
            </a:r>
          </a:p>
        </c:rich>
      </c:tx>
    </c:title>
    <c:view3D>
      <c:depthPercent val="100"/>
      <c:rAngAx val="1"/>
    </c:view3D>
    <c:plotArea>
      <c:layout>
        <c:manualLayout>
          <c:layoutTarget val="inner"/>
          <c:xMode val="edge"/>
          <c:yMode val="edge"/>
          <c:x val="0.11925182695768614"/>
          <c:y val="0.11743333279437097"/>
          <c:w val="0.85814930298581993"/>
          <c:h val="0.73805425694004323"/>
        </c:manualLayout>
      </c:layout>
      <c:bar3DChart>
        <c:barDir val="col"/>
        <c:grouping val="clustered"/>
        <c:ser>
          <c:idx val="0"/>
          <c:order val="0"/>
          <c:tx>
            <c:strRef>
              <c:f>Obliczenia!$B$76</c:f>
              <c:strCache>
                <c:ptCount val="1"/>
                <c:pt idx="0">
                  <c:v>centralny</c:v>
                </c:pt>
              </c:strCache>
            </c:strRef>
          </c:tx>
          <c:spPr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4.6376811594202897E-3"/>
                  <c:y val="-2.4793388429752216E-2"/>
                </c:manualLayout>
              </c:layout>
              <c:showVal val="1"/>
            </c:dLbl>
            <c:dLbl>
              <c:idx val="1"/>
              <c:layout>
                <c:manualLayout>
                  <c:x val="2.3188405797100599E-3"/>
                  <c:y val="-1.6528925619834826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Obliczenia!$A$77:$A$78</c:f>
              <c:strCache>
                <c:ptCount val="2"/>
                <c:pt idx="0">
                  <c:v>Średnia wartość podpisanych umów</c:v>
                </c:pt>
                <c:pt idx="1">
                  <c:v>Średnia wartość wypłaconych
wniosków o płatność</c:v>
                </c:pt>
              </c:strCache>
            </c:strRef>
          </c:cat>
          <c:val>
            <c:numRef>
              <c:f>Obliczenia!$B$77:$B$78</c:f>
              <c:numCache>
                <c:formatCode>#,##0_ ;\-#,##0\ </c:formatCode>
                <c:ptCount val="2"/>
                <c:pt idx="0">
                  <c:v>161024.55052972308</c:v>
                </c:pt>
                <c:pt idx="1">
                  <c:v>128191.71719524864</c:v>
                </c:pt>
              </c:numCache>
            </c:numRef>
          </c:val>
        </c:ser>
        <c:ser>
          <c:idx val="1"/>
          <c:order val="1"/>
          <c:tx>
            <c:strRef>
              <c:f>Obliczenia!$C$76</c:f>
              <c:strCache>
                <c:ptCount val="1"/>
                <c:pt idx="0">
                  <c:v>południowy</c:v>
                </c:pt>
              </c:strCache>
            </c:strRef>
          </c:tx>
          <c:spPr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1.391304347826087E-2"/>
                  <c:y val="-1.6528925619834867E-2"/>
                </c:manualLayout>
              </c:layout>
              <c:showVal val="1"/>
            </c:dLbl>
            <c:dLbl>
              <c:idx val="1"/>
              <c:layout>
                <c:manualLayout>
                  <c:x val="9.2753623188405795E-3"/>
                  <c:y val="-3.3057851239669374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Obliczenia!$A$77:$A$78</c:f>
              <c:strCache>
                <c:ptCount val="2"/>
                <c:pt idx="0">
                  <c:v>Średnia wartość podpisanych umów</c:v>
                </c:pt>
                <c:pt idx="1">
                  <c:v>Średnia wartość wypłaconych
wniosków o płatność</c:v>
                </c:pt>
              </c:strCache>
            </c:strRef>
          </c:cat>
          <c:val>
            <c:numRef>
              <c:f>Obliczenia!$C$77:$C$78</c:f>
              <c:numCache>
                <c:formatCode>#,##0_ ;\-#,##0\ </c:formatCode>
                <c:ptCount val="2"/>
                <c:pt idx="0">
                  <c:v>195604.63795626364</c:v>
                </c:pt>
                <c:pt idx="1">
                  <c:v>181796.04181215703</c:v>
                </c:pt>
              </c:numCache>
            </c:numRef>
          </c:val>
        </c:ser>
        <c:ser>
          <c:idx val="2"/>
          <c:order val="2"/>
          <c:tx>
            <c:strRef>
              <c:f>Obliczenia!$D$76</c:f>
              <c:strCache>
                <c:ptCount val="1"/>
                <c:pt idx="0">
                  <c:v>północny</c:v>
                </c:pt>
              </c:strCache>
            </c:strRef>
          </c:tx>
          <c:spPr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1.6231884057971022E-2"/>
                  <c:y val="-2.4793388429752216E-2"/>
                </c:manualLayout>
              </c:layout>
              <c:showVal val="1"/>
            </c:dLbl>
            <c:dLbl>
              <c:idx val="1"/>
              <c:layout>
                <c:manualLayout>
                  <c:x val="1.6231884057971022E-2"/>
                  <c:y val="-2.7548209366391185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Obliczenia!$A$77:$A$78</c:f>
              <c:strCache>
                <c:ptCount val="2"/>
                <c:pt idx="0">
                  <c:v>Średnia wartość podpisanych umów</c:v>
                </c:pt>
                <c:pt idx="1">
                  <c:v>Średnia wartość wypłaconych
wniosków o płatność</c:v>
                </c:pt>
              </c:strCache>
            </c:strRef>
          </c:cat>
          <c:val>
            <c:numRef>
              <c:f>Obliczenia!$D$77:$D$78</c:f>
              <c:numCache>
                <c:formatCode>#,##0_ ;\-#,##0\ </c:formatCode>
                <c:ptCount val="2"/>
                <c:pt idx="0">
                  <c:v>124361.91733619946</c:v>
                </c:pt>
                <c:pt idx="1">
                  <c:v>103757.80534150479</c:v>
                </c:pt>
              </c:numCache>
            </c:numRef>
          </c:val>
        </c:ser>
        <c:ser>
          <c:idx val="3"/>
          <c:order val="3"/>
          <c:tx>
            <c:strRef>
              <c:f>Obliczenia!$E$76</c:f>
              <c:strCache>
                <c:ptCount val="1"/>
                <c:pt idx="0">
                  <c:v>zachodni</c:v>
                </c:pt>
              </c:strCache>
            </c:strRef>
          </c:tx>
          <c:spPr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2.3188405797101427E-3"/>
                  <c:y val="-1.928374655647383E-2"/>
                </c:manualLayout>
              </c:layout>
              <c:showVal val="1"/>
            </c:dLbl>
            <c:dLbl>
              <c:idx val="1"/>
              <c:layout>
                <c:manualLayout>
                  <c:x val="6.9565217391304524E-3"/>
                  <c:y val="-1.6528925619834867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Obliczenia!$A$77:$A$78</c:f>
              <c:strCache>
                <c:ptCount val="2"/>
                <c:pt idx="0">
                  <c:v>Średnia wartość podpisanych umów</c:v>
                </c:pt>
                <c:pt idx="1">
                  <c:v>Średnia wartość wypłaconych
wniosków o płatność</c:v>
                </c:pt>
              </c:strCache>
            </c:strRef>
          </c:cat>
          <c:val>
            <c:numRef>
              <c:f>Obliczenia!$E$77:$E$78</c:f>
              <c:numCache>
                <c:formatCode>#,##0_ ;\-#,##0\ </c:formatCode>
                <c:ptCount val="2"/>
                <c:pt idx="0">
                  <c:v>140949.44825747231</c:v>
                </c:pt>
                <c:pt idx="1">
                  <c:v>108404.26442119932</c:v>
                </c:pt>
              </c:numCache>
            </c:numRef>
          </c:val>
        </c:ser>
        <c:ser>
          <c:idx val="4"/>
          <c:order val="4"/>
          <c:tx>
            <c:strRef>
              <c:f>Obliczenia!$F$76</c:f>
              <c:strCache>
                <c:ptCount val="1"/>
                <c:pt idx="0">
                  <c:v> poza woj.śląskim</c:v>
                </c:pt>
              </c:strCache>
            </c:strRef>
          </c:tx>
          <c:spPr>
            <a:ln>
              <a:solidFill>
                <a:sysClr val="windowText" lastClr="000000"/>
              </a:solidFill>
            </a:ln>
            <a:scene3d>
              <a:camera prst="orthographicFront"/>
              <a:lightRig rig="threePt" dir="t"/>
            </a:scene3d>
          </c:spPr>
          <c:dLbls>
            <c:dLbl>
              <c:idx val="0"/>
              <c:layout>
                <c:manualLayout>
                  <c:x val="6.9565217391304524E-3"/>
                  <c:y val="-2.4793388429752216E-2"/>
                </c:manualLayout>
              </c:layout>
              <c:showVal val="1"/>
            </c:dLbl>
            <c:dLbl>
              <c:idx val="1"/>
              <c:layout>
                <c:manualLayout>
                  <c:x val="6.9565217391304524E-3"/>
                  <c:y val="-2.2038567493113254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Obliczenia!$A$77:$A$78</c:f>
              <c:strCache>
                <c:ptCount val="2"/>
                <c:pt idx="0">
                  <c:v>Średnia wartość podpisanych umów</c:v>
                </c:pt>
                <c:pt idx="1">
                  <c:v>Średnia wartość wypłaconych
wniosków o płatność</c:v>
                </c:pt>
              </c:strCache>
            </c:strRef>
          </c:cat>
          <c:val>
            <c:numRef>
              <c:f>Obliczenia!$F$77:$F$78</c:f>
              <c:numCache>
                <c:formatCode>#,##0_ ;\-#,##0\ </c:formatCode>
                <c:ptCount val="2"/>
                <c:pt idx="0">
                  <c:v>310998.35420328064</c:v>
                </c:pt>
                <c:pt idx="1">
                  <c:v>242612.26755694023</c:v>
                </c:pt>
              </c:numCache>
            </c:numRef>
          </c:val>
        </c:ser>
        <c:shape val="box"/>
        <c:axId val="104351232"/>
        <c:axId val="104352768"/>
        <c:axId val="0"/>
      </c:bar3DChart>
      <c:catAx>
        <c:axId val="104351232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04352768"/>
        <c:crosses val="autoZero"/>
        <c:auto val="1"/>
        <c:lblAlgn val="ctr"/>
        <c:lblOffset val="100"/>
      </c:catAx>
      <c:valAx>
        <c:axId val="104352768"/>
        <c:scaling>
          <c:orientation val="minMax"/>
        </c:scaling>
        <c:axPos val="l"/>
        <c:majorGridlines/>
        <c:numFmt formatCode="#,##0_ ;\-#,##0\ " sourceLinked="1"/>
        <c:maj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04351232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17795000586405899"/>
          <c:y val="0.95184935228206036"/>
          <c:w val="0.64820887373670188"/>
          <c:h val="4.8150647717942412E-2"/>
        </c:manualLayout>
      </c:layout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pl-PL"/>
        </a:p>
      </c:txPr>
    </c:legend>
    <c:plotVisOnly val="1"/>
    <c:dispBlanksAs val="gap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/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100" b="1" i="1" u="none" strike="noStrike" baseline="0">
                <a:solidFill>
                  <a:srgbClr val="000000"/>
                </a:solidFill>
                <a:latin typeface="Times New Roman" pitchFamily="18" charset="0"/>
                <a:ea typeface="Calibri"/>
                <a:cs typeface="Times New Roman" pitchFamily="18" charset="0"/>
              </a:defRPr>
            </a:pPr>
            <a:r>
              <a:rPr lang="pl-PL" i="1">
                <a:latin typeface="Times New Roman" pitchFamily="18" charset="0"/>
                <a:cs typeface="Times New Roman" pitchFamily="18" charset="0"/>
              </a:rPr>
              <a:t>Średnie</a:t>
            </a:r>
            <a:r>
              <a:rPr lang="pl-PL" i="1" baseline="0">
                <a:latin typeface="Times New Roman" pitchFamily="18" charset="0"/>
                <a:cs typeface="Times New Roman" pitchFamily="18" charset="0"/>
              </a:rPr>
              <a:t> wartości dofinansowania </a:t>
            </a:r>
            <a:r>
              <a:rPr lang="pl-PL" i="1">
                <a:latin typeface="Times New Roman" pitchFamily="18" charset="0"/>
                <a:cs typeface="Times New Roman" pitchFamily="18" charset="0"/>
              </a:rPr>
              <a:t>dla umów  i wniosków o płatność </a:t>
            </a:r>
          </a:p>
          <a:p>
            <a:pPr>
              <a:defRPr sz="1100" b="1" i="1" u="none" strike="noStrike" baseline="0">
                <a:solidFill>
                  <a:srgbClr val="000000"/>
                </a:solidFill>
                <a:latin typeface="Times New Roman" pitchFamily="18" charset="0"/>
                <a:ea typeface="Calibri"/>
                <a:cs typeface="Times New Roman" pitchFamily="18" charset="0"/>
              </a:defRPr>
            </a:pPr>
            <a:r>
              <a:rPr lang="pl-PL" i="1">
                <a:latin typeface="Times New Roman" pitchFamily="18" charset="0"/>
                <a:cs typeface="Times New Roman" pitchFamily="18" charset="0"/>
              </a:rPr>
              <a:t>w subregionach woj. śląskiego</a:t>
            </a:r>
          </a:p>
        </c:rich>
      </c:tx>
      <c:layout>
        <c:manualLayout>
          <c:xMode val="edge"/>
          <c:yMode val="edge"/>
          <c:x val="0.15108396667807827"/>
          <c:y val="1.6528925619834798E-2"/>
        </c:manualLayout>
      </c:layout>
    </c:title>
    <c:view3D>
      <c:depthPercent val="100"/>
      <c:rAngAx val="1"/>
    </c:view3D>
    <c:plotArea>
      <c:layout>
        <c:manualLayout>
          <c:layoutTarget val="inner"/>
          <c:xMode val="edge"/>
          <c:yMode val="edge"/>
          <c:x val="0.10832655483282012"/>
          <c:y val="0.17463504045465392"/>
          <c:w val="0.8568908364715393"/>
          <c:h val="0.64527060150539628"/>
        </c:manualLayout>
      </c:layout>
      <c:bar3DChart>
        <c:barDir val="col"/>
        <c:grouping val="clustered"/>
        <c:ser>
          <c:idx val="0"/>
          <c:order val="0"/>
          <c:tx>
            <c:strRef>
              <c:f>Obliczenia!$I$76</c:f>
              <c:strCache>
                <c:ptCount val="1"/>
                <c:pt idx="0">
                  <c:v>centralny</c:v>
                </c:pt>
              </c:strCache>
            </c:strRef>
          </c:tx>
          <c:spPr>
            <a:solidFill>
              <a:srgbClr val="00B0F0"/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4.6376811594202897E-3"/>
                  <c:y val="-2.4793388429752216E-2"/>
                </c:manualLayout>
              </c:layout>
              <c:showVal val="1"/>
            </c:dLbl>
            <c:dLbl>
              <c:idx val="1"/>
              <c:layout>
                <c:manualLayout>
                  <c:x val="2.3188405797100599E-3"/>
                  <c:y val="-1.6528925619834826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Obliczenia!$H$77:$H$78</c:f>
              <c:strCache>
                <c:ptCount val="2"/>
                <c:pt idx="0">
                  <c:v>Średnia wartość dofinansowania podpisanych umów</c:v>
                </c:pt>
                <c:pt idx="1">
                  <c:v>Średnia wartość dofinansowania wypłaconych wniosków o płatność</c:v>
                </c:pt>
              </c:strCache>
            </c:strRef>
          </c:cat>
          <c:val>
            <c:numRef>
              <c:f>Obliczenia!$I$77:$I$78</c:f>
              <c:numCache>
                <c:formatCode>#,##0_ ;\-#,##0\ </c:formatCode>
                <c:ptCount val="2"/>
                <c:pt idx="0">
                  <c:v>62415.971092775224</c:v>
                </c:pt>
                <c:pt idx="1">
                  <c:v>51377.808556715259</c:v>
                </c:pt>
              </c:numCache>
            </c:numRef>
          </c:val>
        </c:ser>
        <c:ser>
          <c:idx val="1"/>
          <c:order val="1"/>
          <c:tx>
            <c:strRef>
              <c:f>Obliczenia!$J$76</c:f>
              <c:strCache>
                <c:ptCount val="1"/>
                <c:pt idx="0">
                  <c:v>południowy</c:v>
                </c:pt>
              </c:strCache>
            </c:strRef>
          </c:tx>
          <c:spPr>
            <a:solidFill>
              <a:srgbClr val="00B050"/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1.391304347826087E-2"/>
                  <c:y val="-1.6528925619834867E-2"/>
                </c:manualLayout>
              </c:layout>
              <c:showVal val="1"/>
            </c:dLbl>
            <c:dLbl>
              <c:idx val="1"/>
              <c:layout>
                <c:manualLayout>
                  <c:x val="9.2753623188405795E-3"/>
                  <c:y val="-3.3057851239669374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Obliczenia!$H$77:$H$78</c:f>
              <c:strCache>
                <c:ptCount val="2"/>
                <c:pt idx="0">
                  <c:v>Średnia wartość dofinansowania podpisanych umów</c:v>
                </c:pt>
                <c:pt idx="1">
                  <c:v>Średnia wartość dofinansowania wypłaconych wniosków o płatność</c:v>
                </c:pt>
              </c:strCache>
            </c:strRef>
          </c:cat>
          <c:val>
            <c:numRef>
              <c:f>Obliczenia!$J$77:$J$78</c:f>
              <c:numCache>
                <c:formatCode>#,##0_ ;\-#,##0\ </c:formatCode>
                <c:ptCount val="2"/>
                <c:pt idx="0">
                  <c:v>73928.685370315434</c:v>
                </c:pt>
                <c:pt idx="1">
                  <c:v>66694.843488151731</c:v>
                </c:pt>
              </c:numCache>
            </c:numRef>
          </c:val>
        </c:ser>
        <c:ser>
          <c:idx val="2"/>
          <c:order val="2"/>
          <c:tx>
            <c:strRef>
              <c:f>Obliczenia!$K$76</c:f>
              <c:strCache>
                <c:ptCount val="1"/>
                <c:pt idx="0">
                  <c:v>północny</c:v>
                </c:pt>
              </c:strCache>
            </c:strRef>
          </c:tx>
          <c:spPr>
            <a:solidFill>
              <a:srgbClr val="FFFF00"/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1.6231884057971022E-2"/>
                  <c:y val="-2.4793388429752216E-2"/>
                </c:manualLayout>
              </c:layout>
              <c:showVal val="1"/>
            </c:dLbl>
            <c:dLbl>
              <c:idx val="1"/>
              <c:layout>
                <c:manualLayout>
                  <c:x val="1.6231884057971022E-2"/>
                  <c:y val="-2.7548209366391185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Obliczenia!$H$77:$H$78</c:f>
              <c:strCache>
                <c:ptCount val="2"/>
                <c:pt idx="0">
                  <c:v>Średnia wartość dofinansowania podpisanych umów</c:v>
                </c:pt>
                <c:pt idx="1">
                  <c:v>Średnia wartość dofinansowania wypłaconych wniosków o płatność</c:v>
                </c:pt>
              </c:strCache>
            </c:strRef>
          </c:cat>
          <c:val>
            <c:numRef>
              <c:f>Obliczenia!$K$77:$K$78</c:f>
              <c:numCache>
                <c:formatCode>#,##0_ ;\-#,##0\ </c:formatCode>
                <c:ptCount val="2"/>
                <c:pt idx="0">
                  <c:v>50293.395240583217</c:v>
                </c:pt>
                <c:pt idx="1">
                  <c:v>42501.012252572051</c:v>
                </c:pt>
              </c:numCache>
            </c:numRef>
          </c:val>
        </c:ser>
        <c:ser>
          <c:idx val="3"/>
          <c:order val="3"/>
          <c:tx>
            <c:strRef>
              <c:f>Obliczenia!$L$76</c:f>
              <c:strCache>
                <c:ptCount val="1"/>
                <c:pt idx="0">
                  <c:v>zachodni</c:v>
                </c:pt>
              </c:strCache>
            </c:strRef>
          </c:tx>
          <c:spPr>
            <a:solidFill>
              <a:schemeClr val="accent3">
                <a:lumMod val="75000"/>
              </a:schemeClr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2.3188405797101427E-3"/>
                  <c:y val="-1.928374655647383E-2"/>
                </c:manualLayout>
              </c:layout>
              <c:showVal val="1"/>
            </c:dLbl>
            <c:dLbl>
              <c:idx val="1"/>
              <c:layout>
                <c:manualLayout>
                  <c:x val="6.9565217391304524E-3"/>
                  <c:y val="-1.6528925619834867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Obliczenia!$H$77:$H$78</c:f>
              <c:strCache>
                <c:ptCount val="2"/>
                <c:pt idx="0">
                  <c:v>Średnia wartość dofinansowania podpisanych umów</c:v>
                </c:pt>
                <c:pt idx="1">
                  <c:v>Średnia wartość dofinansowania wypłaconych wniosków o płatność</c:v>
                </c:pt>
              </c:strCache>
            </c:strRef>
          </c:cat>
          <c:val>
            <c:numRef>
              <c:f>Obliczenia!$L$77:$L$78</c:f>
              <c:numCache>
                <c:formatCode>#,##0_ ;\-#,##0\ </c:formatCode>
                <c:ptCount val="2"/>
                <c:pt idx="0">
                  <c:v>56882.622671501107</c:v>
                </c:pt>
                <c:pt idx="1">
                  <c:v>45988.493998129859</c:v>
                </c:pt>
              </c:numCache>
            </c:numRef>
          </c:val>
        </c:ser>
        <c:ser>
          <c:idx val="4"/>
          <c:order val="4"/>
          <c:tx>
            <c:strRef>
              <c:f>Obliczenia!$M$76</c:f>
              <c:strCache>
                <c:ptCount val="1"/>
                <c:pt idx="0">
                  <c:v> poza woj.śląskim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  <a:ln>
              <a:solidFill>
                <a:sysClr val="windowText" lastClr="000000"/>
              </a:solidFill>
            </a:ln>
            <a:scene3d>
              <a:camera prst="orthographicFront"/>
              <a:lightRig rig="threePt" dir="t"/>
            </a:scene3d>
          </c:spPr>
          <c:dLbls>
            <c:dLbl>
              <c:idx val="0"/>
              <c:layout>
                <c:manualLayout>
                  <c:x val="6.9565217391304524E-3"/>
                  <c:y val="-2.2038567493113278E-2"/>
                </c:manualLayout>
              </c:layout>
              <c:showVal val="1"/>
            </c:dLbl>
            <c:dLbl>
              <c:idx val="1"/>
              <c:layout>
                <c:manualLayout>
                  <c:x val="6.9565217391304524E-3"/>
                  <c:y val="-2.2038567493113254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Obliczenia!$H$77:$H$78</c:f>
              <c:strCache>
                <c:ptCount val="2"/>
                <c:pt idx="0">
                  <c:v>Średnia wartość dofinansowania podpisanych umów</c:v>
                </c:pt>
                <c:pt idx="1">
                  <c:v>Średnia wartość dofinansowania wypłaconych wniosków o płatność</c:v>
                </c:pt>
              </c:strCache>
            </c:strRef>
          </c:cat>
          <c:val>
            <c:numRef>
              <c:f>Obliczenia!$M$77:$M$78</c:f>
              <c:numCache>
                <c:formatCode>#,##0_ ;\-#,##0\ </c:formatCode>
                <c:ptCount val="2"/>
                <c:pt idx="0">
                  <c:v>118191.66527977493</c:v>
                </c:pt>
                <c:pt idx="1">
                  <c:v>93187.004935115649</c:v>
                </c:pt>
              </c:numCache>
            </c:numRef>
          </c:val>
        </c:ser>
        <c:shape val="box"/>
        <c:axId val="119681408"/>
        <c:axId val="119682944"/>
        <c:axId val="0"/>
      </c:bar3DChart>
      <c:catAx>
        <c:axId val="119681408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19682944"/>
        <c:crosses val="autoZero"/>
        <c:auto val="1"/>
        <c:lblAlgn val="ctr"/>
        <c:lblOffset val="100"/>
      </c:catAx>
      <c:valAx>
        <c:axId val="119682944"/>
        <c:scaling>
          <c:orientation val="minMax"/>
        </c:scaling>
        <c:axPos val="l"/>
        <c:majorGridlines/>
        <c:numFmt formatCode="#,##0_ ;\-#,##0\ " sourceLinked="1"/>
        <c:maj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19681408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pl-PL"/>
        </a:p>
      </c:txPr>
    </c:legend>
    <c:plotVisOnly val="1"/>
    <c:dispBlanksAs val="gap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/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/>
            </a:pPr>
            <a:r>
              <a:rPr lang="en-US" sz="1200" b="1" i="1" baseline="0">
                <a:effectLst/>
                <a:latin typeface="Times New Roman" pitchFamily="18" charset="0"/>
                <a:cs typeface="Times New Roman" pitchFamily="18" charset="0"/>
              </a:rPr>
              <a:t>Zawarte umowy </a:t>
            </a:r>
            <a:r>
              <a:rPr lang="pl-PL" sz="1200" b="1" i="1" baseline="0">
                <a:effectLst/>
                <a:latin typeface="Times New Roman" pitchFamily="18" charset="0"/>
                <a:cs typeface="Times New Roman" pitchFamily="18" charset="0"/>
              </a:rPr>
              <a:t> </a:t>
            </a:r>
            <a:r>
              <a:rPr lang="en-US" sz="1200" b="1" i="1" baseline="0">
                <a:effectLst/>
                <a:latin typeface="Times New Roman" pitchFamily="18" charset="0"/>
                <a:cs typeface="Times New Roman" pitchFamily="18" charset="0"/>
              </a:rPr>
              <a:t>według </a:t>
            </a:r>
            <a:r>
              <a:rPr lang="pl-PL" sz="1200" b="1" i="1" baseline="0">
                <a:effectLst/>
                <a:latin typeface="Times New Roman" pitchFamily="18" charset="0"/>
                <a:cs typeface="Times New Roman" pitchFamily="18" charset="0"/>
              </a:rPr>
              <a:t>typu projektów w podziale na subregiony</a:t>
            </a:r>
            <a:endParaRPr lang="pl-PL" sz="1200">
              <a:effectLst/>
              <a:latin typeface="Times New Roman" pitchFamily="18" charset="0"/>
              <a:cs typeface="Times New Roman" pitchFamily="18" charset="0"/>
            </a:endParaRPr>
          </a:p>
        </c:rich>
      </c:tx>
    </c:title>
    <c:view3D>
      <c:depthPercent val="100"/>
      <c:rAngAx val="1"/>
    </c:view3D>
    <c:plotArea>
      <c:layout>
        <c:manualLayout>
          <c:layoutTarget val="inner"/>
          <c:xMode val="edge"/>
          <c:yMode val="edge"/>
          <c:x val="8.5508104590374528E-2"/>
          <c:y val="0.16471628352957574"/>
          <c:w val="0.89697684341181494"/>
          <c:h val="0.60684397422459335"/>
        </c:manualLayout>
      </c:layout>
      <c:bar3DChart>
        <c:barDir val="col"/>
        <c:grouping val="clustered"/>
        <c:ser>
          <c:idx val="1"/>
          <c:order val="0"/>
          <c:tx>
            <c:strRef>
              <c:f>Obliczenia!$C$3</c:f>
              <c:strCache>
                <c:ptCount val="1"/>
                <c:pt idx="0">
                  <c:v>Inwestycje</c:v>
                </c:pt>
              </c:strCache>
            </c:strRef>
          </c:tx>
          <c:spPr>
            <a:solidFill>
              <a:srgbClr val="92D050"/>
            </a:solidFill>
            <a:ln>
              <a:solidFill>
                <a:sysClr val="windowText" lastClr="000000"/>
              </a:solidFill>
            </a:ln>
          </c:spPr>
          <c:dLbls>
            <c:txPr>
              <a:bodyPr/>
              <a:lstStyle/>
              <a:p>
                <a:pPr>
                  <a:defRPr b="1"/>
                </a:pPr>
                <a:endParaRPr lang="pl-PL"/>
              </a:p>
            </c:txPr>
            <c:showVal val="1"/>
          </c:dLbls>
          <c:cat>
            <c:strRef>
              <c:f>'C:\Documents and Settings\furgalskam\Pulpit\Bazy\dane z ŚĆP\dane z ŚCP d\[typ projektów.xls]opracowanie'!$A$4:$A$8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Obliczenia!$C$4:$C$8</c:f>
              <c:numCache>
                <c:formatCode>General</c:formatCode>
                <c:ptCount val="5"/>
                <c:pt idx="0">
                  <c:v>1059</c:v>
                </c:pt>
                <c:pt idx="1">
                  <c:v>350</c:v>
                </c:pt>
                <c:pt idx="2">
                  <c:v>185</c:v>
                </c:pt>
                <c:pt idx="3">
                  <c:v>164</c:v>
                </c:pt>
                <c:pt idx="4">
                  <c:v>43</c:v>
                </c:pt>
              </c:numCache>
            </c:numRef>
          </c:val>
        </c:ser>
        <c:ser>
          <c:idx val="0"/>
          <c:order val="1"/>
          <c:tx>
            <c:strRef>
              <c:f>Obliczenia!$B$3</c:f>
              <c:strCache>
                <c:ptCount val="1"/>
                <c:pt idx="0">
                  <c:v>Targi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2.8043339706819978E-2"/>
                  <c:y val="-1.2158054711246199E-2"/>
                </c:manualLayout>
              </c:layout>
              <c:showVal val="1"/>
            </c:dLbl>
            <c:dLbl>
              <c:idx val="1"/>
              <c:layout>
                <c:manualLayout>
                  <c:x val="2.2944550669216076E-2"/>
                  <c:y val="-1.2158054711246199E-2"/>
                </c:manualLayout>
              </c:layout>
              <c:showVal val="1"/>
            </c:dLbl>
            <c:dLbl>
              <c:idx val="2"/>
              <c:layout>
                <c:manualLayout>
                  <c:x val="2.2944550669216076E-2"/>
                  <c:y val="-7.4298364934345503E-17"/>
                </c:manualLayout>
              </c:layout>
              <c:showVal val="1"/>
            </c:dLbl>
            <c:dLbl>
              <c:idx val="3"/>
              <c:layout>
                <c:manualLayout>
                  <c:x val="1.5296367112810613E-2"/>
                  <c:y val="-1.2158054711246199E-2"/>
                </c:manualLayout>
              </c:layout>
              <c:showVal val="1"/>
            </c:dLbl>
            <c:dLbl>
              <c:idx val="4"/>
              <c:layout>
                <c:manualLayout>
                  <c:x val="7.6481835564052606E-3"/>
                  <c:y val="-8.1053698074974728E-3"/>
                </c:manualLayout>
              </c:layout>
              <c:showVal val="1"/>
            </c:dLbl>
            <c:txPr>
              <a:bodyPr/>
              <a:lstStyle/>
              <a:p>
                <a:pPr>
                  <a:defRPr b="1"/>
                </a:pPr>
                <a:endParaRPr lang="pl-PL"/>
              </a:p>
            </c:txPr>
            <c:showVal val="1"/>
          </c:dLbls>
          <c:cat>
            <c:strRef>
              <c:f>'C:\Documents and Settings\furgalskam\Pulpit\Bazy\dane z ŚĆP\dane z ŚCP d\[typ projektów.xls]opracowanie'!$A$4:$A$8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Obliczenia!$B$4:$B$8</c:f>
              <c:numCache>
                <c:formatCode>General</c:formatCode>
                <c:ptCount val="5"/>
                <c:pt idx="0">
                  <c:v>398</c:v>
                </c:pt>
                <c:pt idx="1">
                  <c:v>108</c:v>
                </c:pt>
                <c:pt idx="2">
                  <c:v>148</c:v>
                </c:pt>
                <c:pt idx="3">
                  <c:v>97</c:v>
                </c:pt>
                <c:pt idx="4">
                  <c:v>1</c:v>
                </c:pt>
              </c:numCache>
            </c:numRef>
          </c:val>
        </c:ser>
        <c:ser>
          <c:idx val="2"/>
          <c:order val="2"/>
          <c:tx>
            <c:strRef>
              <c:f>Obliczenia!$D$3</c:f>
              <c:strCache>
                <c:ptCount val="1"/>
                <c:pt idx="0">
                  <c:v>Doradztwo</c:v>
                </c:pt>
              </c:strCache>
            </c:strRef>
          </c:tx>
          <c:spPr>
            <a:solidFill>
              <a:srgbClr val="FF0000"/>
            </a:solidFill>
            <a:ln>
              <a:solidFill>
                <a:sysClr val="windowText" lastClr="000000"/>
              </a:solidFill>
            </a:ln>
          </c:spPr>
          <c:dLbls>
            <c:dLbl>
              <c:idx val="0"/>
              <c:layout>
                <c:manualLayout>
                  <c:x val="2.2944550669216076E-2"/>
                  <c:y val="-1.2158054711246199E-2"/>
                </c:manualLayout>
              </c:layout>
              <c:showVal val="1"/>
            </c:dLbl>
            <c:dLbl>
              <c:idx val="1"/>
              <c:layout>
                <c:manualLayout>
                  <c:x val="2.0395156150414276E-2"/>
                  <c:y val="-8.1053698074974728E-3"/>
                </c:manualLayout>
              </c:layout>
              <c:showVal val="1"/>
            </c:dLbl>
            <c:dLbl>
              <c:idx val="2"/>
              <c:layout>
                <c:manualLayout>
                  <c:x val="1.5296367112810707E-2"/>
                  <c:y val="0"/>
                </c:manualLayout>
              </c:layout>
              <c:showVal val="1"/>
            </c:dLbl>
            <c:dLbl>
              <c:idx val="3"/>
              <c:layout>
                <c:manualLayout>
                  <c:x val="1.0197578075207141E-2"/>
                  <c:y val="-4.0526849037487338E-3"/>
                </c:manualLayout>
              </c:layout>
              <c:showVal val="1"/>
            </c:dLbl>
            <c:txPr>
              <a:bodyPr/>
              <a:lstStyle/>
              <a:p>
                <a:pPr>
                  <a:defRPr b="1"/>
                </a:pPr>
                <a:endParaRPr lang="pl-PL"/>
              </a:p>
            </c:txPr>
            <c:showVal val="1"/>
          </c:dLbls>
          <c:cat>
            <c:strRef>
              <c:f>'C:\Documents and Settings\furgalskam\Pulpit\Bazy\dane z ŚĆP\dane z ŚCP d\[typ projektów.xls]opracowanie'!$A$4:$A$8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Obliczenia!$D$4:$D$8</c:f>
              <c:numCache>
                <c:formatCode>General</c:formatCode>
                <c:ptCount val="5"/>
                <c:pt idx="0">
                  <c:v>18</c:v>
                </c:pt>
                <c:pt idx="1">
                  <c:v>4</c:v>
                </c:pt>
                <c:pt idx="2">
                  <c:v>0</c:v>
                </c:pt>
                <c:pt idx="3">
                  <c:v>3</c:v>
                </c:pt>
                <c:pt idx="4">
                  <c:v>0</c:v>
                </c:pt>
              </c:numCache>
            </c:numRef>
          </c:val>
        </c:ser>
        <c:shape val="box"/>
        <c:axId val="119718656"/>
        <c:axId val="119720192"/>
        <c:axId val="0"/>
      </c:bar3DChart>
      <c:catAx>
        <c:axId val="119718656"/>
        <c:scaling>
          <c:orientation val="minMax"/>
        </c:scaling>
        <c:axPos val="b"/>
        <c:numFmt formatCode="General" sourceLinked="1"/>
        <c:majorTickMark val="none"/>
        <c:tickLblPos val="nextTo"/>
        <c:crossAx val="119720192"/>
        <c:crosses val="autoZero"/>
        <c:auto val="1"/>
        <c:lblAlgn val="ctr"/>
        <c:lblOffset val="100"/>
      </c:catAx>
      <c:valAx>
        <c:axId val="11972019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119718656"/>
        <c:crosses val="autoZero"/>
        <c:crossBetween val="between"/>
      </c:valAx>
      <c:spPr>
        <a:noFill/>
        <a:ln w="25400">
          <a:noFill/>
        </a:ln>
      </c:spPr>
    </c:plotArea>
    <c:legend>
      <c:legendPos val="b"/>
    </c:legend>
    <c:plotVisOnly val="1"/>
    <c:dispBlanksAs val="gap"/>
  </c:chart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200" i="1">
                <a:latin typeface="Times New Roman" pitchFamily="18" charset="0"/>
                <a:cs typeface="Times New Roman" pitchFamily="18" charset="0"/>
              </a:defRPr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Zawarte umowy według typów projektów (liczba)</a:t>
            </a:r>
          </a:p>
        </c:rich>
      </c:tx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7.0833333333333873E-2"/>
          <c:y val="0.29108778069408225"/>
          <c:w val="0.81388888888889199"/>
          <c:h val="0.68078740157480622"/>
        </c:manualLayout>
      </c:layout>
      <c:pie3DChart>
        <c:varyColors val="1"/>
        <c:ser>
          <c:idx val="0"/>
          <c:order val="0"/>
          <c:spPr>
            <a:ln>
              <a:solidFill>
                <a:schemeClr val="tx1"/>
              </a:solidFill>
            </a:ln>
            <a:scene3d>
              <a:camera prst="orthographicFront"/>
              <a:lightRig rig="threePt" dir="t"/>
            </a:scene3d>
            <a:sp3d>
              <a:bevelT h="12700"/>
            </a:sp3d>
          </c:spPr>
          <c:explosion val="6"/>
          <c:dLbls>
            <c:dLbl>
              <c:idx val="0"/>
              <c:layout>
                <c:manualLayout>
                  <c:x val="0.15422047244094494"/>
                  <c:y val="-0.11273148148148229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targi</a:t>
                    </a:r>
                  </a:p>
                  <a:p>
                    <a:r>
                      <a:rPr lang="en-US"/>
                      <a:t>29%</a:t>
                    </a:r>
                  </a:p>
                </c:rich>
              </c:tx>
              <c:showPercent val="1"/>
            </c:dLbl>
            <c:dLbl>
              <c:idx val="1"/>
              <c:layout>
                <c:manualLayout>
                  <c:x val="-4.9667760279965008E-2"/>
                  <c:y val="8.4033974919801691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inwestycje</a:t>
                    </a:r>
                  </a:p>
                  <a:p>
                    <a:r>
                      <a:rPr lang="en-US"/>
                      <a:t>70%</a:t>
                    </a:r>
                  </a:p>
                </c:rich>
              </c:tx>
              <c:showPercent val="1"/>
            </c:dLbl>
            <c:dLbl>
              <c:idx val="2"/>
              <c:layout>
                <c:manualLayout>
                  <c:x val="-0.32287642169729136"/>
                  <c:y val="1.0249708369787235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doradztwo</a:t>
                    </a:r>
                  </a:p>
                  <a:p>
                    <a:r>
                      <a:rPr lang="en-US"/>
                      <a:t>1%</a:t>
                    </a:r>
                  </a:p>
                </c:rich>
              </c:tx>
              <c:showPercent val="1"/>
            </c:dLbl>
            <c:showPercent val="1"/>
            <c:showLeaderLines val="1"/>
          </c:dLbls>
          <c:cat>
            <c:strRef>
              <c:f>Obliczenia!$B$3:$D$3</c:f>
              <c:strCache>
                <c:ptCount val="3"/>
                <c:pt idx="0">
                  <c:v>Targi</c:v>
                </c:pt>
                <c:pt idx="1">
                  <c:v>Inwestycje</c:v>
                </c:pt>
                <c:pt idx="2">
                  <c:v>Doradztwo</c:v>
                </c:pt>
              </c:strCache>
            </c:strRef>
          </c:cat>
          <c:val>
            <c:numRef>
              <c:f>Obliczenia!$B$9:$D$9</c:f>
              <c:numCache>
                <c:formatCode>General</c:formatCode>
                <c:ptCount val="3"/>
                <c:pt idx="0">
                  <c:v>752</c:v>
                </c:pt>
                <c:pt idx="1">
                  <c:v>1801</c:v>
                </c:pt>
                <c:pt idx="2">
                  <c:v>25</c:v>
                </c:pt>
              </c:numCache>
            </c:numRef>
          </c:val>
        </c:ser>
        <c:dLbls>
          <c:showPercent val="1"/>
        </c:dLbls>
      </c:pie3DChart>
    </c:plotArea>
    <c:plotVisOnly val="1"/>
    <c:dispBlanksAs val="zero"/>
  </c:chart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i="1"/>
            </a:pPr>
            <a:r>
              <a:rPr lang="en-US" sz="1200" i="1">
                <a:latin typeface="Times New Roman" pitchFamily="18" charset="0"/>
                <a:cs typeface="Times New Roman" pitchFamily="18" charset="0"/>
              </a:rPr>
              <a:t>Zawarte umowy w ujęciu wartościowym według typów projektów</a:t>
            </a:r>
          </a:p>
        </c:rich>
      </c:tx>
      <c:layout>
        <c:manualLayout>
          <c:xMode val="edge"/>
          <c:yMode val="edge"/>
          <c:x val="0.10717064600795879"/>
          <c:y val="3.304278825611915E-2"/>
        </c:manualLayout>
      </c:layout>
    </c:title>
    <c:view3D>
      <c:rotX val="30"/>
      <c:rotY val="20"/>
      <c:depthPercent val="100"/>
      <c:perspective val="30"/>
    </c:view3D>
    <c:plotArea>
      <c:layout>
        <c:manualLayout>
          <c:layoutTarget val="inner"/>
          <c:xMode val="edge"/>
          <c:yMode val="edge"/>
          <c:x val="2.3693764492176091E-2"/>
          <c:y val="0.31136465084721726"/>
          <c:w val="0.85273345942490042"/>
          <c:h val="0.68615137393540093"/>
        </c:manualLayout>
      </c:layout>
      <c:pie3DChart>
        <c:varyColors val="1"/>
        <c:ser>
          <c:idx val="0"/>
          <c:order val="0"/>
          <c:spPr>
            <a:solidFill>
              <a:srgbClr val="C00000"/>
            </a:solidFill>
            <a:ln>
              <a:solidFill>
                <a:schemeClr val="tx1"/>
              </a:solidFill>
            </a:ln>
          </c:spPr>
          <c:explosion val="25"/>
          <c:dPt>
            <c:idx val="0"/>
            <c:explosion val="35"/>
            <c:spPr>
              <a:solidFill>
                <a:srgbClr val="2A65AC"/>
              </a:solidFill>
              <a:ln>
                <a:solidFill>
                  <a:schemeClr val="tx1"/>
                </a:solidFill>
              </a:ln>
            </c:spPr>
          </c:dPt>
          <c:dPt>
            <c:idx val="1"/>
            <c:explosion val="8"/>
            <c:spPr>
              <a:solidFill>
                <a:srgbClr val="92D050"/>
              </a:solidFill>
              <a:ln>
                <a:solidFill>
                  <a:schemeClr val="tx1"/>
                </a:solidFill>
              </a:ln>
            </c:spPr>
          </c:dPt>
          <c:dPt>
            <c:idx val="2"/>
            <c:spPr>
              <a:solidFill>
                <a:srgbClr val="FF0000"/>
              </a:solidFill>
              <a:ln>
                <a:solidFill>
                  <a:schemeClr val="tx1"/>
                </a:solidFill>
              </a:ln>
            </c:spPr>
          </c:dPt>
          <c:dLbls>
            <c:dLbl>
              <c:idx val="0"/>
              <c:layout>
                <c:manualLayout>
                  <c:x val="6.5900220133773904E-2"/>
                  <c:y val="-1.6725263993163649E-2"/>
                </c:manualLayout>
              </c:layout>
              <c:numFmt formatCode="0.00%" sourceLinked="0"/>
              <c:spPr/>
              <c:txPr>
                <a:bodyPr/>
                <a:lstStyle/>
                <a:p>
                  <a:pPr>
                    <a:defRPr/>
                  </a:pPr>
                  <a:endParaRPr lang="pl-PL"/>
                </a:p>
              </c:txPr>
              <c:dLblPos val="bestFit"/>
              <c:showCatName val="1"/>
              <c:showPercent val="1"/>
            </c:dLbl>
            <c:dLbl>
              <c:idx val="1"/>
              <c:layout>
                <c:manualLayout>
                  <c:x val="-4.5698924731182804E-2"/>
                  <c:y val="-1.1627906976744136E-2"/>
                </c:manualLayout>
              </c:layout>
              <c:numFmt formatCode="0.00%" sourceLinked="0"/>
              <c:spPr/>
              <c:txPr>
                <a:bodyPr/>
                <a:lstStyle/>
                <a:p>
                  <a:pPr>
                    <a:defRPr/>
                  </a:pPr>
                  <a:endParaRPr lang="pl-PL"/>
                </a:p>
              </c:txPr>
              <c:dLblPos val="bestFit"/>
              <c:showCatName val="1"/>
              <c:showPercent val="1"/>
            </c:dLbl>
            <c:dLbl>
              <c:idx val="2"/>
              <c:layout>
                <c:manualLayout>
                  <c:x val="-0.14709825586317946"/>
                  <c:y val="-8.0937252029542828E-2"/>
                </c:manualLayout>
              </c:layout>
              <c:numFmt formatCode="0.00%" sourceLinked="0"/>
              <c:spPr/>
              <c:txPr>
                <a:bodyPr/>
                <a:lstStyle/>
                <a:p>
                  <a:pPr>
                    <a:defRPr/>
                  </a:pPr>
                  <a:endParaRPr lang="pl-PL"/>
                </a:p>
              </c:txPr>
              <c:dLblPos val="bestFit"/>
              <c:showCatName val="1"/>
              <c:showPercent val="1"/>
            </c:dLbl>
            <c:numFmt formatCode="0.00%" sourceLinked="0"/>
            <c:showCatName val="1"/>
            <c:showPercent val="1"/>
            <c:showLeaderLines val="1"/>
          </c:dLbls>
          <c:cat>
            <c:strRef>
              <c:f>'C:\Documents and Settings\furgalskam\Pulpit\Bazy\dane z ŚĆP\dane z ŚCP d\[typ projektów.xls]opracowanie'!$B$3:$D$3</c:f>
              <c:strCache>
                <c:ptCount val="3"/>
                <c:pt idx="0">
                  <c:v>targi</c:v>
                </c:pt>
                <c:pt idx="1">
                  <c:v>inwestycje</c:v>
                </c:pt>
                <c:pt idx="2">
                  <c:v>doradztwo</c:v>
                </c:pt>
              </c:strCache>
            </c:strRef>
          </c:cat>
          <c:val>
            <c:numRef>
              <c:f>Obliczenia!$E$9:$G$9</c:f>
              <c:numCache>
                <c:formatCode>_-* #,##0.00\ _z_ł_-;\-* #,##0.00\ _z_ł_-;_-* "-"??\ _z_ł_-;_-@_-</c:formatCode>
                <c:ptCount val="3"/>
                <c:pt idx="0">
                  <c:v>18847983.359999999</c:v>
                </c:pt>
                <c:pt idx="1">
                  <c:v>648787336.33000028</c:v>
                </c:pt>
                <c:pt idx="2">
                  <c:v>895893.02</c:v>
                </c:pt>
              </c:numCache>
            </c:numRef>
          </c:val>
        </c:ser>
      </c:pie3DChart>
      <c:spPr>
        <a:noFill/>
        <a:ln w="25400">
          <a:noFill/>
        </a:ln>
      </c:spPr>
    </c:plotArea>
    <c:plotVisOnly val="1"/>
    <c:dispBlanksAs val="zero"/>
  </c:chart>
  <c:spPr>
    <a:scene3d>
      <a:camera prst="orthographicFront"/>
      <a:lightRig rig="threePt" dir="t"/>
    </a:scene3d>
    <a:sp3d>
      <a:bevelT w="0"/>
    </a:sp3d>
  </c:sp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100" i="1">
                <a:latin typeface="Times New Roman" pitchFamily="18" charset="0"/>
                <a:cs typeface="Times New Roman" pitchFamily="18" charset="0"/>
              </a:defRPr>
            </a:pPr>
            <a:r>
              <a:rPr lang="en-US" sz="1100" i="1">
                <a:latin typeface="Times New Roman" pitchFamily="18" charset="0"/>
                <a:cs typeface="Times New Roman" pitchFamily="18" charset="0"/>
              </a:rPr>
              <a:t>Środki wypłacone beneficjentom według </a:t>
            </a:r>
            <a:r>
              <a:rPr lang="pl-PL" sz="1100" i="1">
                <a:latin typeface="Times New Roman" pitchFamily="18" charset="0"/>
                <a:cs typeface="Times New Roman" pitchFamily="18" charset="0"/>
              </a:rPr>
              <a:t>typów projektów w podziale na subregiony</a:t>
            </a:r>
            <a:endParaRPr lang="en-US" sz="1100" i="1">
              <a:latin typeface="Times New Roman" pitchFamily="18" charset="0"/>
              <a:cs typeface="Times New Roman" pitchFamily="18" charset="0"/>
            </a:endParaRPr>
          </a:p>
        </c:rich>
      </c:tx>
    </c:title>
    <c:view3D>
      <c:depthPercent val="100"/>
      <c:rAngAx val="1"/>
    </c:view3D>
    <c:plotArea>
      <c:layout>
        <c:manualLayout>
          <c:layoutTarget val="inner"/>
          <c:xMode val="edge"/>
          <c:yMode val="edge"/>
          <c:x val="0.17337336788597629"/>
          <c:y val="0.16999310692224118"/>
          <c:w val="0.75473682774055362"/>
          <c:h val="0.64625437165622834"/>
        </c:manualLayout>
      </c:layout>
      <c:bar3DChart>
        <c:barDir val="col"/>
        <c:grouping val="clustered"/>
        <c:ser>
          <c:idx val="1"/>
          <c:order val="0"/>
          <c:tx>
            <c:strRef>
              <c:f>'Obliczenia EUR'!$L$3</c:f>
              <c:strCache>
                <c:ptCount val="1"/>
                <c:pt idx="0">
                  <c:v>Inwestycje</c:v>
                </c:pt>
              </c:strCache>
            </c:strRef>
          </c:tx>
          <c:spPr>
            <a:solidFill>
              <a:srgbClr val="3D7FCF"/>
            </a:solidFill>
            <a:ln>
              <a:solidFill>
                <a:sysClr val="windowText" lastClr="000000"/>
              </a:solidFill>
            </a:ln>
          </c:spPr>
          <c:dLbls>
            <c:dLbl>
              <c:idx val="0"/>
              <c:layout>
                <c:manualLayout>
                  <c:x val="6.932409012131744E-3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6.932409012131744E-3"/>
                  <c:y val="-3.4100596760443316E-3"/>
                </c:manualLayout>
              </c:layout>
              <c:showVal val="1"/>
            </c:dLbl>
            <c:dLbl>
              <c:idx val="2"/>
              <c:layout>
                <c:manualLayout>
                  <c:x val="2.3108030040439047E-3"/>
                  <c:y val="-6.8201193520886633E-3"/>
                </c:manualLayout>
              </c:layout>
              <c:showVal val="1"/>
            </c:dLbl>
            <c:dLbl>
              <c:idx val="3"/>
              <c:layout>
                <c:manualLayout>
                  <c:x val="6.9322270591392907E-3"/>
                  <c:y val="-2.6850863597152099E-7"/>
                </c:manualLayout>
              </c:layout>
              <c:showVal val="1"/>
            </c:dLbl>
            <c:dLbl>
              <c:idx val="4"/>
              <c:layout>
                <c:manualLayout>
                  <c:x val="4.6216060080878103E-3"/>
                  <c:y val="0"/>
                </c:manualLayout>
              </c:layout>
              <c:showVal val="1"/>
            </c:dLbl>
            <c:txPr>
              <a:bodyPr rot="-5400000" vert="horz" anchor="ctr" anchorCtr="0"/>
              <a:lstStyle/>
              <a:p>
                <a:pPr algn="ctr" rtl="0">
                  <a:defRPr lang="pl-PL"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showVal val="1"/>
          </c:dLbls>
          <c:cat>
            <c:strRef>
              <c:f>[7]opracowanie!$A$4:$A$8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'Obliczenia EUR'!$L$4:$L$8</c:f>
              <c:numCache>
                <c:formatCode>_-* #,##0\ _z_ł_-;\-* #,##0\ _z_ł_-;_-* "-"??\ _z_ł_-;_-@_-</c:formatCode>
                <c:ptCount val="5"/>
                <c:pt idx="0">
                  <c:v>54032539.685120128</c:v>
                </c:pt>
                <c:pt idx="1">
                  <c:v>23080756.993263002</c:v>
                </c:pt>
                <c:pt idx="2">
                  <c:v>10828593.138547149</c:v>
                </c:pt>
                <c:pt idx="3">
                  <c:v>9115515.1142354887</c:v>
                </c:pt>
                <c:pt idx="4">
                  <c:v>2037935.7693809804</c:v>
                </c:pt>
              </c:numCache>
            </c:numRef>
          </c:val>
        </c:ser>
        <c:ser>
          <c:idx val="0"/>
          <c:order val="1"/>
          <c:tx>
            <c:strRef>
              <c:f>'Obliczenia EUR'!$K$3</c:f>
              <c:strCache>
                <c:ptCount val="1"/>
                <c:pt idx="0">
                  <c:v>Targi</c:v>
                </c:pt>
              </c:strCache>
            </c:strRef>
          </c:tx>
          <c:spPr>
            <a:solidFill>
              <a:srgbClr val="9BBB59"/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1.3864818024263471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1.3864818024263497E-2"/>
                  <c:y val="-6.8201193520886633E-3"/>
                </c:manualLayout>
              </c:layout>
              <c:showVal val="1"/>
            </c:dLbl>
            <c:dLbl>
              <c:idx val="2"/>
              <c:layout>
                <c:manualLayout>
                  <c:x val="1.1554015020219533E-2"/>
                  <c:y val="3.4100596760443316E-3"/>
                </c:manualLayout>
              </c:layout>
              <c:showVal val="1"/>
            </c:dLbl>
            <c:dLbl>
              <c:idx val="3"/>
              <c:layout>
                <c:manualLayout>
                  <c:x val="1.3864818024263497E-2"/>
                  <c:y val="-3.4100596760443316E-3"/>
                </c:manualLayout>
              </c:layout>
              <c:showVal val="1"/>
            </c:dLbl>
            <c:dLbl>
              <c:idx val="4"/>
              <c:layout>
                <c:manualLayout>
                  <c:x val="1.8486424032351293E-2"/>
                  <c:y val="-3.4100596760443316E-3"/>
                </c:manualLayout>
              </c:layout>
              <c:showVal val="1"/>
            </c:dLbl>
            <c:txPr>
              <a:bodyPr rot="-5400000" vert="horz"/>
              <a:lstStyle/>
              <a:p>
                <a:pPr algn="ctr" rtl="0">
                  <a:defRPr lang="pl-PL"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showVal val="1"/>
          </c:dLbls>
          <c:cat>
            <c:strRef>
              <c:f>[7]opracowanie!$A$4:$A$8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'Obliczenia EUR'!$K$4:$K$8</c:f>
              <c:numCache>
                <c:formatCode>_-* #,##0\ _z_ł_-;\-* #,##0\ _z_ł_-;_-* "-"??\ _z_ł_-;_-@_-</c:formatCode>
                <c:ptCount val="5"/>
                <c:pt idx="0">
                  <c:v>1962993.2703573506</c:v>
                </c:pt>
                <c:pt idx="1">
                  <c:v>489796.59002148017</c:v>
                </c:pt>
                <c:pt idx="2">
                  <c:v>774183.20640499948</c:v>
                </c:pt>
                <c:pt idx="3">
                  <c:v>438182.83782464359</c:v>
                </c:pt>
                <c:pt idx="4">
                  <c:v>12178.339191564135</c:v>
                </c:pt>
              </c:numCache>
            </c:numRef>
          </c:val>
        </c:ser>
        <c:ser>
          <c:idx val="2"/>
          <c:order val="2"/>
          <c:tx>
            <c:strRef>
              <c:f>'Obliczenia EUR'!$M$3</c:f>
              <c:strCache>
                <c:ptCount val="1"/>
                <c:pt idx="0">
                  <c:v>Doradztwo</c:v>
                </c:pt>
              </c:strCache>
            </c:strRef>
          </c:tx>
          <c:spPr>
            <a:solidFill>
              <a:srgbClr val="FFFF00"/>
            </a:solidFill>
            <a:ln>
              <a:solidFill>
                <a:sysClr val="windowText" lastClr="000000"/>
              </a:solidFill>
            </a:ln>
          </c:spPr>
          <c:dLbls>
            <c:dLbl>
              <c:idx val="0"/>
              <c:layout>
                <c:manualLayout>
                  <c:x val="9.2432120161756708E-3"/>
                  <c:y val="-3.4100596760443316E-3"/>
                </c:manualLayout>
              </c:layout>
              <c:showVal val="1"/>
            </c:dLbl>
            <c:dLbl>
              <c:idx val="1"/>
              <c:layout>
                <c:manualLayout>
                  <c:x val="1.1554015020219533E-2"/>
                  <c:y val="-6.8201193520886633E-3"/>
                </c:manualLayout>
              </c:layout>
              <c:showVal val="1"/>
            </c:dLbl>
            <c:dLbl>
              <c:idx val="2"/>
              <c:layout>
                <c:manualLayout>
                  <c:x val="2.0797227036395232E-2"/>
                  <c:y val="-1.0230179028133064E-2"/>
                </c:manualLayout>
              </c:layout>
              <c:tx>
                <c:rich>
                  <a:bodyPr/>
                  <a:lstStyle/>
                  <a:p>
                    <a:r>
                      <a:t>0    </a:t>
                    </a:r>
                  </a:p>
                </c:rich>
              </c:tx>
              <c:showVal val="1"/>
            </c:dLbl>
            <c:dLbl>
              <c:idx val="3"/>
              <c:layout>
                <c:manualLayout>
                  <c:x val="1.6175621028307361E-2"/>
                  <c:y val="-6.8201193520886633E-3"/>
                </c:manualLayout>
              </c:layout>
              <c:showVal val="1"/>
            </c:dLbl>
            <c:dLbl>
              <c:idx val="4"/>
              <c:layout>
                <c:manualLayout>
                  <c:x val="9.2432120161756205E-3"/>
                  <c:y val="-3.4100596760443316E-3"/>
                </c:manualLayout>
              </c:layout>
              <c:tx>
                <c:rich>
                  <a:bodyPr/>
                  <a:lstStyle/>
                  <a:p>
                    <a:r>
                      <a:t>0    </a:t>
                    </a:r>
                  </a:p>
                </c:rich>
              </c:tx>
              <c:showVal val="1"/>
            </c:dLbl>
            <c:txPr>
              <a:bodyPr rot="-5400000" vert="horz"/>
              <a:lstStyle/>
              <a:p>
                <a:pPr algn="ctr" rtl="0">
                  <a:defRPr lang="pl-PL"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showVal val="1"/>
          </c:dLbls>
          <c:cat>
            <c:strRef>
              <c:f>[7]opracowanie!$A$4:$A$8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'Obliczenia EUR'!$M$4:$M$8</c:f>
              <c:numCache>
                <c:formatCode>_-* #,##0\ _z_ł_-;\-* #,##0\ _z_ł_-;_-* "-"??\ _z_ł_-;_-@_-</c:formatCode>
                <c:ptCount val="5"/>
                <c:pt idx="0">
                  <c:v>160411.7970123023</c:v>
                </c:pt>
                <c:pt idx="1">
                  <c:v>39421.011521187254</c:v>
                </c:pt>
                <c:pt idx="2">
                  <c:v>0</c:v>
                </c:pt>
                <c:pt idx="3">
                  <c:v>11908.799550868976</c:v>
                </c:pt>
                <c:pt idx="4">
                  <c:v>0</c:v>
                </c:pt>
              </c:numCache>
            </c:numRef>
          </c:val>
        </c:ser>
        <c:shape val="box"/>
        <c:axId val="119922048"/>
        <c:axId val="119940224"/>
        <c:axId val="0"/>
      </c:bar3DChart>
      <c:catAx>
        <c:axId val="119922048"/>
        <c:scaling>
          <c:orientation val="minMax"/>
        </c:scaling>
        <c:axPos val="b"/>
        <c:numFmt formatCode="General" sourceLinked="1"/>
        <c:tickLblPos val="nextTo"/>
        <c:crossAx val="119940224"/>
        <c:crosses val="autoZero"/>
        <c:auto val="1"/>
        <c:lblAlgn val="ctr"/>
        <c:lblOffset val="100"/>
      </c:catAx>
      <c:valAx>
        <c:axId val="119940224"/>
        <c:scaling>
          <c:orientation val="minMax"/>
        </c:scaling>
        <c:axPos val="l"/>
        <c:majorGridlines/>
        <c:numFmt formatCode="_-* #,##0\ _z_ł_-;\-* #,##0\ _z_ł_-;_-* &quot;-&quot;??\ _z_ł_-;_-@_-" sourceLinked="1"/>
        <c:tickLblPos val="nextTo"/>
        <c:crossAx val="119922048"/>
        <c:crosses val="autoZero"/>
        <c:crossBetween val="between"/>
      </c:valAx>
      <c:spPr>
        <a:noFill/>
        <a:ln w="25400">
          <a:noFill/>
        </a:ln>
      </c:spPr>
    </c:plotArea>
    <c:legend>
      <c:legendPos val="b"/>
    </c:legend>
    <c:plotVisOnly val="1"/>
    <c:dispBlanksAs val="gap"/>
  </c:chart>
  <c:externalData r:id="rId1"/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200" b="1" i="1">
                <a:latin typeface="Times New Roman" pitchFamily="18" charset="0"/>
                <a:cs typeface="Times New Roman" pitchFamily="18" charset="0"/>
              </a:defRPr>
            </a:pPr>
            <a:r>
              <a:rPr lang="en-US" sz="1200" b="1" i="1">
                <a:latin typeface="Times New Roman" pitchFamily="18" charset="0"/>
                <a:cs typeface="Times New Roman" pitchFamily="18" charset="0"/>
              </a:rPr>
              <a:t>% alokacji przeznaczonej na poszczególne </a:t>
            </a:r>
            <a:r>
              <a:rPr lang="pl-PL" sz="1200" b="1" i="1">
                <a:latin typeface="Times New Roman" pitchFamily="18" charset="0"/>
                <a:cs typeface="Times New Roman" pitchFamily="18" charset="0"/>
              </a:rPr>
              <a:t>kategorie interwencji</a:t>
            </a:r>
          </a:p>
        </c:rich>
      </c:tx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9.0330350072465024E-2"/>
          <c:y val="0.32391516613014792"/>
          <c:w val="0.72319761737563115"/>
          <c:h val="0.64667785965850699"/>
        </c:manualLayout>
      </c:layout>
      <c:pie3DChart>
        <c:varyColors val="1"/>
        <c:ser>
          <c:idx val="0"/>
          <c:order val="0"/>
          <c:spPr>
            <a:ln>
              <a:solidFill>
                <a:sysClr val="windowText" lastClr="000000"/>
              </a:solidFill>
            </a:ln>
          </c:spPr>
          <c:explosion val="16"/>
          <c:dPt>
            <c:idx val="3"/>
            <c:explosion val="1"/>
          </c:dPt>
          <c:dLbls>
            <c:dLbl>
              <c:idx val="0"/>
              <c:layout>
                <c:manualLayout>
                  <c:x val="-0.23036630857575441"/>
                  <c:y val="-2.5310664394427577E-2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04</a:t>
                    </a:r>
                    <a:r>
                      <a:rPr lang="pl-PL"/>
                      <a:t> Wspieranie B+RT,</a:t>
                    </a:r>
                    <a:r>
                      <a:rPr lang="pl-PL" baseline="0"/>
                      <a:t> w szczególności w MŚP (przez dostęp do usług B+RT w centrach badań)</a:t>
                    </a:r>
                    <a:r>
                      <a:rPr lang="en-US"/>
                      <a:t>
</a:t>
                    </a:r>
                    <a:r>
                      <a:rPr lang="en-US" b="1"/>
                      <a:t>12%</a:t>
                    </a:r>
                  </a:p>
                </c:rich>
              </c:tx>
              <c:showCatName val="1"/>
              <c:showPercent val="1"/>
            </c:dLbl>
            <c:dLbl>
              <c:idx val="1"/>
              <c:layout>
                <c:manualLayout>
                  <c:x val="0.10013536732955818"/>
                  <c:y val="-3.3674571004619201E-2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05</a:t>
                    </a:r>
                    <a:r>
                      <a:rPr lang="pl-PL"/>
                      <a:t> Usługi</a:t>
                    </a:r>
                    <a:r>
                      <a:rPr lang="pl-PL" baseline="0"/>
                      <a:t> w zakresie zaawansowanego wsparcia dla przedsiębiorstw i grub przedsiębiorstw</a:t>
                    </a:r>
                    <a:r>
                      <a:rPr lang="en-US"/>
                      <a:t>
</a:t>
                    </a:r>
                    <a:r>
                      <a:rPr lang="en-US" b="1"/>
                      <a:t>5%</a:t>
                    </a:r>
                  </a:p>
                </c:rich>
              </c:tx>
              <c:showCatName val="1"/>
              <c:showPercent val="1"/>
            </c:dLbl>
            <c:dLbl>
              <c:idx val="2"/>
              <c:layout>
                <c:manualLayout>
                  <c:x val="5.1167655276487006E-2"/>
                  <c:y val="0.14735754095819223"/>
                </c:manualLayout>
              </c:layout>
              <c:tx>
                <c:rich>
                  <a:bodyPr/>
                  <a:lstStyle/>
                  <a:p>
                    <a:r>
                      <a:rPr lang="en-US" sz="800" b="1" i="0" u="none" strike="noStrike" kern="1200" baseline="0">
                        <a:solidFill>
                          <a:sysClr val="windowText" lastClr="000000"/>
                        </a:solidFill>
                        <a:effectLst/>
                        <a:latin typeface="+mn-lt"/>
                        <a:ea typeface="+mn-ea"/>
                        <a:cs typeface="+mn-cs"/>
                      </a:rPr>
                      <a:t>07</a:t>
                    </a:r>
                    <a:r>
                      <a:rPr lang="pl-PL" sz="800" b="0" i="0" u="none" strike="noStrike" kern="1200" baseline="0">
                        <a:solidFill>
                          <a:sysClr val="windowText" lastClr="000000"/>
                        </a:solidFill>
                        <a:effectLst/>
                        <a:latin typeface="+mn-lt"/>
                        <a:ea typeface="+mn-ea"/>
                        <a:cs typeface="+mn-cs"/>
                      </a:rPr>
                      <a:t> Inwestycje  w przedsiębiorstwa bezpośrednio związane z dziedziną badań i innowacji</a:t>
                    </a:r>
                    <a:r>
                      <a:rPr lang="en-US"/>
                      <a:t>
</a:t>
                    </a:r>
                    <a:r>
                      <a:rPr lang="en-US" b="1"/>
                      <a:t>13%</a:t>
                    </a:r>
                  </a:p>
                </c:rich>
              </c:tx>
              <c:showCatName val="1"/>
              <c:showPercent val="1"/>
            </c:dLbl>
            <c:dLbl>
              <c:idx val="3"/>
              <c:layout>
                <c:manualLayout>
                  <c:x val="-4.449146981627343E-2"/>
                  <c:y val="0.10541156313794108"/>
                </c:manualLayout>
              </c:layout>
              <c:tx>
                <c:rich>
                  <a:bodyPr/>
                  <a:lstStyle/>
                  <a:p>
                    <a:pPr algn="ctr" rtl="0">
                      <a:defRPr/>
                    </a:pPr>
                    <a:r>
                      <a:rPr lang="pl-PL" b="1"/>
                      <a:t>08</a:t>
                    </a:r>
                    <a:r>
                      <a:rPr lang="pl-PL"/>
                      <a:t> Inne inwestycje w przedsiębiorstwa</a:t>
                    </a:r>
                  </a:p>
                  <a:p>
                    <a:pPr algn="ctr" rtl="0">
                      <a:defRPr/>
                    </a:pPr>
                    <a:r>
                      <a:rPr lang="en-US" b="1"/>
                      <a:t>70%</a:t>
                    </a:r>
                  </a:p>
                </c:rich>
              </c:tx>
              <c:spPr/>
              <c:showCatName val="1"/>
              <c:showPercent val="1"/>
            </c:dLbl>
            <c:showCatName val="1"/>
            <c:showPercent val="1"/>
            <c:showLeaderLines val="1"/>
          </c:dLbls>
          <c:cat>
            <c:strRef>
              <c:f>Obliczenia!$G$16:$G$19</c:f>
              <c:strCache>
                <c:ptCount val="4"/>
                <c:pt idx="0">
                  <c:v>04</c:v>
                </c:pt>
                <c:pt idx="1">
                  <c:v>05</c:v>
                </c:pt>
                <c:pt idx="2">
                  <c:v>07</c:v>
                </c:pt>
                <c:pt idx="3">
                  <c:v>08</c:v>
                </c:pt>
              </c:strCache>
            </c:strRef>
          </c:cat>
          <c:val>
            <c:numRef>
              <c:f>Obliczenia!$H$16:$H$19</c:f>
              <c:numCache>
                <c:formatCode>_-* #,##0\ _z_ł_-;\-* #,##0\ _z_ł_-;_-* "-"??\ _z_ł_-;_-@_-</c:formatCode>
                <c:ptCount val="4"/>
                <c:pt idx="0">
                  <c:v>28823530</c:v>
                </c:pt>
                <c:pt idx="1">
                  <c:v>12221787</c:v>
                </c:pt>
                <c:pt idx="2">
                  <c:v>31129412</c:v>
                </c:pt>
                <c:pt idx="3">
                  <c:v>165422886</c:v>
                </c:pt>
              </c:numCache>
            </c:numRef>
          </c:val>
        </c:ser>
        <c:dLbls>
          <c:showCatName val="1"/>
          <c:showPercent val="1"/>
        </c:dLbls>
      </c:pie3DChart>
    </c:plotArea>
    <c:plotVisOnly val="1"/>
    <c:dispBlanksAs val="zero"/>
  </c:chart>
  <c:txPr>
    <a:bodyPr/>
    <a:lstStyle/>
    <a:p>
      <a:pPr marL="0" marR="0" indent="0" algn="ctr" defTabSz="914400" rtl="0" eaLnBrk="1" fontAlgn="auto" latinLnBrk="0" hangingPunct="1">
        <a:lnSpc>
          <a:spcPct val="100000"/>
        </a:lnSpc>
        <a:spcBef>
          <a:spcPts val="0"/>
        </a:spcBef>
        <a:spcAft>
          <a:spcPts val="0"/>
        </a:spcAft>
        <a:buClrTx/>
        <a:buSzTx/>
        <a:buFontTx/>
        <a:buNone/>
        <a:tabLst/>
        <a:defRPr lang="pl-PL" sz="800" b="0" i="0" u="none" strike="noStrike" kern="1200" baseline="0">
          <a:solidFill>
            <a:sysClr val="windowText" lastClr="000000"/>
          </a:solidFill>
          <a:effectLst/>
          <a:latin typeface="+mn-lt"/>
          <a:ea typeface="+mn-ea"/>
          <a:cs typeface="+mn-cs"/>
        </a:defRPr>
      </a:pPr>
      <a:endParaRPr lang="pl-PL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/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Zawarte</a:t>
            </a:r>
            <a:r>
              <a:rPr lang="pl-PL" sz="1200" i="1" baseline="0">
                <a:latin typeface="Times New Roman" pitchFamily="18" charset="0"/>
                <a:cs typeface="Times New Roman" pitchFamily="18" charset="0"/>
              </a:rPr>
              <a:t> umowy (wartość dofinansowania) według kategorii interwencji</a:t>
            </a:r>
            <a:endParaRPr lang="pl-PL" sz="1200" i="1">
              <a:latin typeface="Times New Roman" pitchFamily="18" charset="0"/>
              <a:cs typeface="Times New Roman" pitchFamily="18" charset="0"/>
            </a:endParaRPr>
          </a:p>
        </c:rich>
      </c:tx>
    </c:title>
    <c:view3D>
      <c:rotX val="20"/>
      <c:rotY val="20"/>
      <c:perspective val="20"/>
    </c:view3D>
    <c:plotArea>
      <c:layout>
        <c:manualLayout>
          <c:layoutTarget val="inner"/>
          <c:xMode val="edge"/>
          <c:yMode val="edge"/>
          <c:x val="0.10416666666666713"/>
          <c:y val="0.34971784776902892"/>
          <c:w val="0.81388888888889177"/>
          <c:h val="0.64767096821230674"/>
        </c:manualLayout>
      </c:layout>
      <c:pie3DChart>
        <c:varyColors val="1"/>
        <c:ser>
          <c:idx val="0"/>
          <c:order val="0"/>
          <c:explosion val="25"/>
          <c:dPt>
            <c:idx val="0"/>
            <c:explosion val="64"/>
            <c:spPr>
              <a:solidFill>
                <a:srgbClr val="FF0000"/>
              </a:solidFill>
              <a:ln>
                <a:solidFill>
                  <a:sysClr val="windowText" lastClr="000000"/>
                </a:solidFill>
              </a:ln>
            </c:spPr>
          </c:dPt>
          <c:dPt>
            <c:idx val="1"/>
            <c:explosion val="38"/>
            <c:spPr>
              <a:solidFill>
                <a:srgbClr val="FFFF00"/>
              </a:solidFill>
            </c:spPr>
          </c:dPt>
          <c:dPt>
            <c:idx val="2"/>
            <c:spPr>
              <a:solidFill>
                <a:srgbClr val="33CC33"/>
              </a:solidFill>
            </c:spPr>
          </c:dPt>
          <c:dPt>
            <c:idx val="3"/>
            <c:explosion val="22"/>
            <c:spPr>
              <a:solidFill>
                <a:schemeClr val="accent1"/>
              </a:solidFill>
              <a:ln>
                <a:solidFill>
                  <a:sysClr val="windowText" lastClr="000000"/>
                </a:solidFill>
              </a:ln>
            </c:spPr>
          </c:dPt>
          <c:dLbls>
            <c:dLbl>
              <c:idx val="0"/>
              <c:layout>
                <c:manualLayout>
                  <c:x val="-0.10542469033476078"/>
                  <c:y val="-7.6199616462083661E-2"/>
                </c:manualLayout>
              </c:layout>
              <c:showCatName val="1"/>
              <c:showPercent val="1"/>
            </c:dLbl>
            <c:dLbl>
              <c:idx val="1"/>
              <c:layout>
                <c:manualLayout>
                  <c:x val="0.10289916885389325"/>
                  <c:y val="-5.7448235637212013E-2"/>
                </c:manualLayout>
              </c:layout>
              <c:showCatName val="1"/>
              <c:showPercent val="1"/>
            </c:dLbl>
            <c:dLbl>
              <c:idx val="2"/>
              <c:layout>
                <c:manualLayout>
                  <c:x val="9.6787839020122501E-2"/>
                  <c:y val="6.1670312044327789E-2"/>
                </c:manualLayout>
              </c:layout>
              <c:showCatName val="1"/>
              <c:showPercent val="1"/>
            </c:dLbl>
            <c:dLbl>
              <c:idx val="3"/>
              <c:layout>
                <c:manualLayout>
                  <c:x val="-6.8096894138233235E-2"/>
                  <c:y val="8.8997885680957234E-2"/>
                </c:manualLayout>
              </c:layout>
              <c:showCatName val="1"/>
              <c:showPercent val="1"/>
            </c:dLbl>
            <c:numFmt formatCode="0.00%" sourceLinked="0"/>
            <c:showCatName val="1"/>
            <c:showPercent val="1"/>
            <c:showLeaderLines val="1"/>
          </c:dLbls>
          <c:cat>
            <c:strRef>
              <c:f>Obliczenia!$F$3:$I$3</c:f>
              <c:strCache>
                <c:ptCount val="4"/>
                <c:pt idx="0">
                  <c:v>04</c:v>
                </c:pt>
                <c:pt idx="1">
                  <c:v>05</c:v>
                </c:pt>
                <c:pt idx="2">
                  <c:v>07</c:v>
                </c:pt>
                <c:pt idx="3">
                  <c:v>08</c:v>
                </c:pt>
              </c:strCache>
            </c:strRef>
          </c:cat>
          <c:val>
            <c:numRef>
              <c:f>Obliczenia!$F$9:$I$9</c:f>
              <c:numCache>
                <c:formatCode>_-* #,##0.00\ _z_ł_-;\-* #,##0.00\ _z_ł_-;_-* "-"??\ _z_ł_-;_-@_-</c:formatCode>
                <c:ptCount val="4"/>
                <c:pt idx="0">
                  <c:v>88751.76</c:v>
                </c:pt>
                <c:pt idx="1">
                  <c:v>895893.02</c:v>
                </c:pt>
                <c:pt idx="2">
                  <c:v>159327620.05999997</c:v>
                </c:pt>
                <c:pt idx="3">
                  <c:v>508218947.8700003</c:v>
                </c:pt>
              </c:numCache>
            </c:numRef>
          </c:val>
        </c:ser>
        <c:dLbls>
          <c:showCatName val="1"/>
          <c:showPercent val="1"/>
        </c:dLbls>
      </c:pie3DChart>
    </c:plotArea>
    <c:plotVisOnly val="1"/>
    <c:dispBlanksAs val="zero"/>
  </c:chart>
  <c:spPr>
    <a:scene3d>
      <a:camera prst="orthographicFront"/>
      <a:lightRig rig="threePt" dir="t"/>
    </a:scene3d>
    <a:sp3d>
      <a:bevelT w="0" h="88900"/>
    </a:sp3d>
  </c:spPr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/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Zawarte umowy według kategorii interwencji w podziale na subregiony</a:t>
            </a:r>
          </a:p>
        </c:rich>
      </c:tx>
      <c:layout>
        <c:manualLayout>
          <c:xMode val="edge"/>
          <c:yMode val="edge"/>
          <c:x val="0.12657957722658186"/>
          <c:y val="2.2662889518413658E-2"/>
        </c:manualLayout>
      </c:layout>
    </c:title>
    <c:view3D>
      <c:depthPercent val="100"/>
      <c:rAngAx val="1"/>
    </c:view3D>
    <c:plotArea>
      <c:layout/>
      <c:bar3DChart>
        <c:barDir val="col"/>
        <c:grouping val="clustered"/>
        <c:ser>
          <c:idx val="2"/>
          <c:order val="0"/>
          <c:tx>
            <c:strRef>
              <c:f>'Obliczenia EUR'!$E$3</c:f>
              <c:strCache>
                <c:ptCount val="1"/>
                <c:pt idx="0">
                  <c:v>08</c:v>
                </c:pt>
              </c:strCache>
            </c:strRef>
          </c:tx>
          <c:spPr>
            <a:ln>
              <a:solidFill>
                <a:sysClr val="windowText" lastClr="000000"/>
              </a:solidFill>
            </a:ln>
          </c:spPr>
          <c:dLbls>
            <c:dLbl>
              <c:idx val="1"/>
              <c:layout>
                <c:manualLayout>
                  <c:x val="7.8431372549019624E-3"/>
                  <c:y val="1.2307692307692308E-2"/>
                </c:manualLayout>
              </c:layout>
              <c:showVal val="1"/>
            </c:dLbl>
            <c:dLbl>
              <c:idx val="2"/>
              <c:layout>
                <c:manualLayout>
                  <c:x val="7.8431372549019624E-3"/>
                  <c:y val="-7.5212806348919589E-17"/>
                </c:manualLayout>
              </c:layout>
              <c:showVal val="1"/>
            </c:dLbl>
            <c:txPr>
              <a:bodyPr/>
              <a:lstStyle/>
              <a:p>
                <a:pPr>
                  <a:defRPr sz="900" b="1"/>
                </a:pPr>
                <a:endParaRPr lang="pl-PL"/>
              </a:p>
            </c:txPr>
            <c:showVal val="1"/>
          </c:dLbls>
          <c:cat>
            <c:strRef>
              <c:f>[2]opracowanie!$A$4:$A$8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'Obliczenia EUR'!$E$4:$E$8</c:f>
              <c:numCache>
                <c:formatCode>General</c:formatCode>
                <c:ptCount val="5"/>
                <c:pt idx="0">
                  <c:v>1257</c:v>
                </c:pt>
                <c:pt idx="1">
                  <c:v>394</c:v>
                </c:pt>
                <c:pt idx="2">
                  <c:v>310</c:v>
                </c:pt>
                <c:pt idx="3">
                  <c:v>238</c:v>
                </c:pt>
                <c:pt idx="4">
                  <c:v>37</c:v>
                </c:pt>
              </c:numCache>
            </c:numRef>
          </c:val>
        </c:ser>
        <c:ser>
          <c:idx val="1"/>
          <c:order val="1"/>
          <c:tx>
            <c:strRef>
              <c:f>'Obliczenia EUR'!$D$3</c:f>
              <c:strCache>
                <c:ptCount val="1"/>
                <c:pt idx="0">
                  <c:v>07</c:v>
                </c:pt>
              </c:strCache>
            </c:strRef>
          </c:tx>
          <c:spPr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1.5686274509803921E-2"/>
                  <c:y val="-7.5212806348919589E-17"/>
                </c:manualLayout>
              </c:layout>
              <c:showVal val="1"/>
            </c:dLbl>
            <c:dLbl>
              <c:idx val="1"/>
              <c:layout>
                <c:manualLayout>
                  <c:x val="7.8431372549019121E-3"/>
                  <c:y val="8.2051282051282537E-3"/>
                </c:manualLayout>
              </c:layout>
              <c:showVal val="1"/>
            </c:dLbl>
            <c:dLbl>
              <c:idx val="2"/>
              <c:layout>
                <c:manualLayout>
                  <c:x val="1.3071895424836603E-2"/>
                  <c:y val="0"/>
                </c:manualLayout>
              </c:layout>
              <c:showVal val="1"/>
            </c:dLbl>
            <c:dLbl>
              <c:idx val="3"/>
              <c:layout>
                <c:manualLayout>
                  <c:x val="1.3071895424836603E-2"/>
                  <c:y val="-1.2307692307692308E-2"/>
                </c:manualLayout>
              </c:layout>
              <c:showVal val="1"/>
            </c:dLbl>
            <c:dLbl>
              <c:idx val="4"/>
              <c:layout>
                <c:manualLayout>
                  <c:x val="6.5252854812398193E-3"/>
                  <c:y val="0"/>
                </c:manualLayout>
              </c:layout>
              <c:showVal val="1"/>
            </c:dLbl>
            <c:txPr>
              <a:bodyPr/>
              <a:lstStyle/>
              <a:p>
                <a:pPr>
                  <a:defRPr sz="800" b="1"/>
                </a:pPr>
                <a:endParaRPr lang="pl-PL"/>
              </a:p>
            </c:txPr>
            <c:showVal val="1"/>
          </c:dLbls>
          <c:cat>
            <c:strRef>
              <c:f>[2]opracowanie!$A$4:$A$8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'Obliczenia EUR'!$D$4:$D$8</c:f>
              <c:numCache>
                <c:formatCode>General</c:formatCode>
                <c:ptCount val="5"/>
                <c:pt idx="0">
                  <c:v>198</c:v>
                </c:pt>
                <c:pt idx="1">
                  <c:v>64</c:v>
                </c:pt>
                <c:pt idx="2">
                  <c:v>23</c:v>
                </c:pt>
                <c:pt idx="3">
                  <c:v>23</c:v>
                </c:pt>
                <c:pt idx="4">
                  <c:v>7</c:v>
                </c:pt>
              </c:numCache>
            </c:numRef>
          </c:val>
        </c:ser>
        <c:ser>
          <c:idx val="0"/>
          <c:order val="2"/>
          <c:tx>
            <c:strRef>
              <c:f>'Obliczenia EUR'!$C$3</c:f>
              <c:strCache>
                <c:ptCount val="1"/>
                <c:pt idx="0">
                  <c:v>05</c:v>
                </c:pt>
              </c:strCache>
            </c:strRef>
          </c:tx>
          <c:spPr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1.2193377948474219E-2"/>
                  <c:y val="-6.9038537321645197E-3"/>
                </c:manualLayout>
              </c:layout>
              <c:showVal val="1"/>
            </c:dLbl>
            <c:dLbl>
              <c:idx val="1"/>
              <c:layout>
                <c:manualLayout>
                  <c:x val="1.045751633986928E-2"/>
                  <c:y val="7.5212806348919589E-17"/>
                </c:manualLayout>
              </c:layout>
              <c:showVal val="1"/>
            </c:dLbl>
            <c:dLbl>
              <c:idx val="2"/>
              <c:layout>
                <c:manualLayout>
                  <c:x val="4.3501903208265384E-3"/>
                  <c:y val="0"/>
                </c:manualLayout>
              </c:layout>
              <c:showVal val="1"/>
            </c:dLbl>
            <c:dLbl>
              <c:idx val="3"/>
              <c:layout>
                <c:manualLayout>
                  <c:x val="7.8431372549019624E-3"/>
                  <c:y val="-4.1025641025641034E-3"/>
                </c:manualLayout>
              </c:layout>
              <c:showVal val="1"/>
            </c:dLbl>
            <c:txPr>
              <a:bodyPr/>
              <a:lstStyle/>
              <a:p>
                <a:pPr>
                  <a:defRPr sz="800" b="1"/>
                </a:pPr>
                <a:endParaRPr lang="pl-PL"/>
              </a:p>
            </c:txPr>
            <c:showVal val="1"/>
          </c:dLbls>
          <c:cat>
            <c:strRef>
              <c:f>[2]opracowanie!$A$4:$A$8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'Obliczenia EUR'!$C$4:$C$8</c:f>
              <c:numCache>
                <c:formatCode>General</c:formatCode>
                <c:ptCount val="5"/>
                <c:pt idx="0">
                  <c:v>18</c:v>
                </c:pt>
                <c:pt idx="1">
                  <c:v>4</c:v>
                </c:pt>
                <c:pt idx="2">
                  <c:v>0</c:v>
                </c:pt>
                <c:pt idx="3">
                  <c:v>3</c:v>
                </c:pt>
                <c:pt idx="4">
                  <c:v>0</c:v>
                </c:pt>
              </c:numCache>
            </c:numRef>
          </c:val>
        </c:ser>
        <c:ser>
          <c:idx val="3"/>
          <c:order val="3"/>
          <c:tx>
            <c:strRef>
              <c:f>'Obliczenia EUR'!$B$3</c:f>
              <c:strCache>
                <c:ptCount val="1"/>
                <c:pt idx="0">
                  <c:v>04</c:v>
                </c:pt>
              </c:strCache>
            </c:strRef>
          </c:tx>
          <c:dLbls>
            <c:dLbl>
              <c:idx val="0"/>
              <c:layout>
                <c:manualLayout>
                  <c:x val="1.5686274509803921E-2"/>
                  <c:y val="0"/>
                </c:manualLayout>
              </c:layout>
              <c:showVal val="1"/>
            </c:dLbl>
            <c:txPr>
              <a:bodyPr/>
              <a:lstStyle/>
              <a:p>
                <a:pPr>
                  <a:defRPr sz="800"/>
                </a:pPr>
                <a:endParaRPr lang="pl-PL"/>
              </a:p>
            </c:txPr>
            <c:showVal val="1"/>
          </c:dLbls>
          <c:val>
            <c:numRef>
              <c:f>'Obliczenia EUR'!$B$4:$B$8</c:f>
              <c:numCache>
                <c:formatCode>General</c:formatCode>
                <c:ptCount val="5"/>
                <c:pt idx="0">
                  <c:v>2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</c:numCache>
            </c:numRef>
          </c:val>
        </c:ser>
        <c:dLbls>
          <c:showVal val="1"/>
        </c:dLbls>
        <c:shape val="box"/>
        <c:axId val="120088832"/>
        <c:axId val="120123392"/>
        <c:axId val="0"/>
      </c:bar3DChart>
      <c:catAx>
        <c:axId val="120088832"/>
        <c:scaling>
          <c:orientation val="minMax"/>
        </c:scaling>
        <c:axPos val="b"/>
        <c:numFmt formatCode="General" sourceLinked="1"/>
        <c:majorTickMark val="none"/>
        <c:tickLblPos val="nextTo"/>
        <c:crossAx val="120123392"/>
        <c:crosses val="autoZero"/>
        <c:auto val="1"/>
        <c:lblAlgn val="ctr"/>
        <c:lblOffset val="100"/>
      </c:catAx>
      <c:valAx>
        <c:axId val="12012339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120088832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31954485101127184"/>
          <c:y val="0.88493987482333969"/>
          <c:w val="0.26509145180381866"/>
          <c:h val="7.4186311326469023E-2"/>
        </c:manualLayout>
      </c:layout>
    </c:legend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200" i="1">
                <a:latin typeface="Times New Roman" pitchFamily="18" charset="0"/>
                <a:cs typeface="Times New Roman" pitchFamily="18" charset="0"/>
              </a:defRPr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Stan wdrażania działań powierzonych IP2 RPO WSL</a:t>
            </a:r>
          </a:p>
        </c:rich>
      </c:tx>
    </c:title>
    <c:plotArea>
      <c:layout>
        <c:manualLayout>
          <c:layoutTarget val="inner"/>
          <c:xMode val="edge"/>
          <c:yMode val="edge"/>
          <c:x val="0.21869554767192681"/>
          <c:y val="0.17488266172610778"/>
          <c:w val="0.67891579817583536"/>
          <c:h val="0.56198291390046828"/>
        </c:manualLayout>
      </c:layout>
      <c:barChart>
        <c:barDir val="col"/>
        <c:grouping val="clustered"/>
        <c:ser>
          <c:idx val="0"/>
          <c:order val="0"/>
          <c:tx>
            <c:strRef>
              <c:f>Obliczenia!$R$1</c:f>
              <c:strCache>
                <c:ptCount val="1"/>
                <c:pt idx="0">
                  <c:v>wartość dofinansowania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>
              <a:bevelT w="190500" h="38100"/>
            </a:sp3d>
          </c:spPr>
          <c:dLbls>
            <c:dLbl>
              <c:idx val="0"/>
              <c:layout>
                <c:manualLayout>
                  <c:x val="-2.2002196408236812E-3"/>
                  <c:y val="0.26303684622436446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50" b="1"/>
                </a:pPr>
                <a:endParaRPr lang="pl-PL"/>
              </a:p>
            </c:txPr>
            <c:dLblPos val="ctr"/>
            <c:showVal val="1"/>
          </c:dLbls>
          <c:cat>
            <c:strRef>
              <c:f>Obliczenia!$Q$2:$Q$6</c:f>
              <c:strCache>
                <c:ptCount val="5"/>
                <c:pt idx="0">
                  <c:v>Złożone wnioski o dof.</c:v>
                </c:pt>
                <c:pt idx="1">
                  <c:v>Wnioski wybrane do dof.</c:v>
                </c:pt>
                <c:pt idx="2">
                  <c:v>Podpisane umowy </c:v>
                </c:pt>
                <c:pt idx="3">
                  <c:v>Wnioski o płatność (zatwierdzone)</c:v>
                </c:pt>
                <c:pt idx="4">
                  <c:v>Zakończone projekty</c:v>
                </c:pt>
              </c:strCache>
            </c:strRef>
          </c:cat>
          <c:val>
            <c:numRef>
              <c:f>Obliczenia!$R$2:$R$6</c:f>
              <c:numCache>
                <c:formatCode>_-* #,##0\ _z_ł_-;\-* #,##0\ _z_ł_-;_-* "-"??\ _z_ł_-;_-@_-</c:formatCode>
                <c:ptCount val="5"/>
                <c:pt idx="0">
                  <c:v>628163226.36692059</c:v>
                </c:pt>
                <c:pt idx="1">
                  <c:v>213041496.39718798</c:v>
                </c:pt>
                <c:pt idx="2">
                  <c:v>163183756.27562982</c:v>
                </c:pt>
                <c:pt idx="3">
                  <c:v>118111462.6196056</c:v>
                </c:pt>
                <c:pt idx="4">
                  <c:v>102984416.55243121</c:v>
                </c:pt>
              </c:numCache>
            </c:numRef>
          </c:val>
        </c:ser>
        <c:gapWidth val="32"/>
        <c:overlap val="-25"/>
        <c:axId val="129712896"/>
        <c:axId val="129714432"/>
      </c:barChart>
      <c:lineChart>
        <c:grouping val="standard"/>
        <c:ser>
          <c:idx val="1"/>
          <c:order val="1"/>
          <c:tx>
            <c:strRef>
              <c:f>Obliczenia!$S$1</c:f>
              <c:strCache>
                <c:ptCount val="1"/>
                <c:pt idx="0">
                  <c:v>liczba</c:v>
                </c:pt>
              </c:strCache>
            </c:strRef>
          </c:tx>
          <c:marker>
            <c:symbol val="square"/>
            <c:size val="5"/>
            <c:spPr>
              <a:ln cap="sq"/>
            </c:spPr>
          </c:marker>
          <c:dLbls>
            <c:dLbl>
              <c:idx val="0"/>
              <c:layout>
                <c:manualLayout>
                  <c:x val="-4.5954099260397036E-2"/>
                  <c:y val="-5.422411780454653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pl-PL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0871595355007211E-2"/>
                  <c:y val="-4.510543469695502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pl-PL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084690265379406E-2"/>
                  <c:y val="-4.62730157362807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pl-PL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0605051738944473E-2"/>
                  <c:y val="-4.3512032863576508E-2"/>
                </c:manualLayout>
              </c:layout>
              <c:showVal val="1"/>
            </c:dLbl>
            <c:dLbl>
              <c:idx val="4"/>
              <c:layout>
                <c:manualLayout>
                  <c:x val="-3.3003294612355148E-2"/>
                  <c:y val="-4.3512032863576508E-2"/>
                </c:manualLayout>
              </c:layout>
              <c:showVal val="1"/>
            </c:dLbl>
            <c:showVal val="1"/>
          </c:dLbls>
          <c:cat>
            <c:strRef>
              <c:f>[1]Subre!$A$141:$A$143</c:f>
              <c:strCache>
                <c:ptCount val="3"/>
                <c:pt idx="0">
                  <c:v>Wnioski o dofinansowanie</c:v>
                </c:pt>
                <c:pt idx="1">
                  <c:v>Podpisane umowy </c:v>
                </c:pt>
                <c:pt idx="2">
                  <c:v>Zakończone projekty</c:v>
                </c:pt>
              </c:strCache>
            </c:strRef>
          </c:cat>
          <c:val>
            <c:numRef>
              <c:f>Obliczenia!$S$2:$S$6</c:f>
              <c:numCache>
                <c:formatCode>General</c:formatCode>
                <c:ptCount val="5"/>
                <c:pt idx="0">
                  <c:v>8682</c:v>
                </c:pt>
                <c:pt idx="1">
                  <c:v>3152</c:v>
                </c:pt>
                <c:pt idx="2" formatCode="_-* #,##0\ _z_ł_-;\-* #,##0\ _z_ł_-;_-* &quot;-&quot;??\ _z_ł_-;_-@_-">
                  <c:v>2578</c:v>
                </c:pt>
                <c:pt idx="3" formatCode="_-* #,##0\ _z_ł_-;\-* #,##0\ _z_ł_-;_-* &quot;-&quot;??\ _z_ł_-;_-@_-">
                  <c:v>3583</c:v>
                </c:pt>
                <c:pt idx="4" formatCode="_-* #,##0\ _z_ł_-;\-* #,##0\ _z_ł_-;_-* &quot;-&quot;??\ _z_ł_-;_-@_-">
                  <c:v>1949</c:v>
                </c:pt>
              </c:numCache>
            </c:numRef>
          </c:val>
        </c:ser>
        <c:marker val="1"/>
        <c:axId val="130023424"/>
        <c:axId val="134361856"/>
      </c:lineChart>
      <c:catAx>
        <c:axId val="129712896"/>
        <c:scaling>
          <c:orientation val="minMax"/>
        </c:scaling>
        <c:axPos val="b"/>
        <c:numFmt formatCode="_-* #,##0\ _z_ł_-;\-* #,##0\ _z_ł_-;_-* &quot;-&quot;??\ _z_ł_-;_-@_-" sourceLinked="1"/>
        <c:majorTickMark val="none"/>
        <c:tickLblPos val="nextTo"/>
        <c:crossAx val="129714432"/>
        <c:crosses val="autoZero"/>
        <c:auto val="1"/>
        <c:lblAlgn val="ctr"/>
        <c:lblOffset val="100"/>
      </c:catAx>
      <c:valAx>
        <c:axId val="129714432"/>
        <c:scaling>
          <c:orientation val="minMax"/>
        </c:scaling>
        <c:axPos val="l"/>
        <c:majorGridlines/>
        <c:numFmt formatCode="_-* #,##0\ _z_ł_-;\-* #,##0\ _z_ł_-;_-* &quot;-&quot;??\ _z_ł_-;_-@_-" sourceLinked="1"/>
        <c:majorTickMark val="none"/>
        <c:tickLblPos val="nextTo"/>
        <c:spPr>
          <a:ln w="9525">
            <a:noFill/>
          </a:ln>
        </c:spPr>
        <c:crossAx val="129712896"/>
        <c:crosses val="autoZero"/>
        <c:crossBetween val="between"/>
      </c:valAx>
      <c:catAx>
        <c:axId val="130023424"/>
        <c:scaling>
          <c:orientation val="minMax"/>
        </c:scaling>
        <c:delete val="1"/>
        <c:axPos val="b"/>
        <c:tickLblPos val="none"/>
        <c:crossAx val="134361856"/>
        <c:crosses val="autoZero"/>
        <c:auto val="1"/>
        <c:lblAlgn val="ctr"/>
        <c:lblOffset val="100"/>
      </c:catAx>
      <c:valAx>
        <c:axId val="134361856"/>
        <c:scaling>
          <c:orientation val="minMax"/>
        </c:scaling>
        <c:axPos val="r"/>
        <c:numFmt formatCode="General" sourceLinked="1"/>
        <c:tickLblPos val="nextTo"/>
        <c:crossAx val="130023424"/>
        <c:crosses val="max"/>
        <c:crossBetween val="between"/>
      </c:valAx>
    </c:plotArea>
    <c:legend>
      <c:legendPos val="b"/>
    </c:legend>
    <c:plotVisOnly val="1"/>
    <c:dispBlanksAs val="gap"/>
  </c:chart>
  <c:externalData r:id="rId1"/>
  <c:userShapes r:id="rId2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200" b="1" i="1" u="none" strike="noStrike" baseline="0">
                <a:solidFill>
                  <a:srgbClr val="000000"/>
                </a:solidFill>
                <a:latin typeface="Times New Roman" pitchFamily="18" charset="0"/>
                <a:ea typeface="Calibri"/>
                <a:cs typeface="Times New Roman" pitchFamily="18" charset="0"/>
              </a:defRPr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Środki wypłacone beneficjentom według kategorii interwencji</a:t>
            </a:r>
          </a:p>
        </c:rich>
      </c:tx>
      <c:layout>
        <c:manualLayout>
          <c:xMode val="edge"/>
          <c:yMode val="edge"/>
          <c:x val="0.18023179869131548"/>
          <c:y val="3.6697247706422201E-2"/>
        </c:manualLayout>
      </c:layout>
    </c:title>
    <c:view3D>
      <c:depthPercent val="100"/>
      <c:rAngAx val="1"/>
    </c:view3D>
    <c:plotArea>
      <c:layout>
        <c:manualLayout>
          <c:layoutTarget val="inner"/>
          <c:xMode val="edge"/>
          <c:yMode val="edge"/>
          <c:x val="0.18250561731892695"/>
          <c:y val="0.19454746084667399"/>
          <c:w val="0.7350255152532188"/>
          <c:h val="0.60870395510905961"/>
        </c:manualLayout>
      </c:layout>
      <c:bar3DChart>
        <c:barDir val="col"/>
        <c:grouping val="clustered"/>
        <c:ser>
          <c:idx val="2"/>
          <c:order val="0"/>
          <c:tx>
            <c:strRef>
              <c:f>'Obliczenia EUR'!$Q$3</c:f>
              <c:strCache>
                <c:ptCount val="1"/>
                <c:pt idx="0">
                  <c:v>08</c:v>
                </c:pt>
              </c:strCache>
            </c:strRef>
          </c:tx>
          <c:spPr>
            <a:solidFill>
              <a:schemeClr val="accent1">
                <a:lumMod val="75000"/>
              </a:schemeClr>
            </a:solidFill>
            <a:ln>
              <a:solidFill>
                <a:sysClr val="windowText" lastClr="000000"/>
              </a:solidFill>
            </a:ln>
          </c:spPr>
          <c:dLbls>
            <c:dLbl>
              <c:idx val="0"/>
              <c:layout>
                <c:manualLayout>
                  <c:x val="5.6040436985562284E-2"/>
                  <c:y val="6.5951503768450865E-3"/>
                </c:manualLayout>
              </c:layout>
              <c:showVal val="1"/>
            </c:dLbl>
            <c:dLbl>
              <c:idx val="1"/>
              <c:layout>
                <c:manualLayout>
                  <c:x val="3.1351158384954642E-2"/>
                  <c:y val="1.8444942088660941E-4"/>
                </c:manualLayout>
              </c:layout>
              <c:showVal val="1"/>
            </c:dLbl>
            <c:dLbl>
              <c:idx val="2"/>
              <c:layout>
                <c:manualLayout>
                  <c:x val="2.1857923497267812E-2"/>
                  <c:y val="1.4367816091954019E-2"/>
                </c:manualLayout>
              </c:layout>
              <c:showVal val="1"/>
            </c:dLbl>
            <c:dLbl>
              <c:idx val="3"/>
              <c:layout>
                <c:manualLayout>
                  <c:x val="1.4364703639247581E-2"/>
                  <c:y val="-7.3827927472368911E-4"/>
                </c:manualLayout>
              </c:layout>
              <c:showVal val="1"/>
            </c:dLbl>
            <c:dLbl>
              <c:idx val="4"/>
              <c:layout>
                <c:manualLayout>
                  <c:x val="3.2786885245901641E-2"/>
                  <c:y val="-2.8735632183908145E-3"/>
                </c:manualLayout>
              </c:layout>
              <c:showVal val="1"/>
            </c:dLbl>
            <c:txPr>
              <a:bodyPr rot="-3060000" vert="horz"/>
              <a:lstStyle/>
              <a:p>
                <a:pPr algn="ctr">
                  <a:defRPr sz="900" b="1" i="0" u="none" strike="noStrike" baseline="0">
                    <a:solidFill>
                      <a:srgbClr val="000000"/>
                    </a:solidFill>
                    <a:latin typeface="+mn-lt"/>
                    <a:ea typeface="Arial Narrow"/>
                    <a:cs typeface="Arial Narrow"/>
                  </a:defRPr>
                </a:pPr>
                <a:endParaRPr lang="pl-PL"/>
              </a:p>
            </c:txPr>
            <c:showVal val="1"/>
          </c:dLbls>
          <c:cat>
            <c:strRef>
              <c:f>'Obliczenia EUR'!$A$4:$A$8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'Obliczenia EUR'!$Q$4:$Q$8</c:f>
              <c:numCache>
                <c:formatCode>_-* #,##0\ _z_ł_-;\-* #,##0\ _z_ł_-;_-* "-"??\ _z_ł_-;_-@_-</c:formatCode>
                <c:ptCount val="5"/>
                <c:pt idx="0">
                  <c:v>41088699.517184108</c:v>
                </c:pt>
                <c:pt idx="1">
                  <c:v>17208197.895918746</c:v>
                </c:pt>
                <c:pt idx="2">
                  <c:v>8914834.6197031848</c:v>
                </c:pt>
                <c:pt idx="3">
                  <c:v>7297822.9447373515</c:v>
                </c:pt>
                <c:pt idx="4">
                  <c:v>1837189.8237648911</c:v>
                </c:pt>
              </c:numCache>
            </c:numRef>
          </c:val>
        </c:ser>
        <c:ser>
          <c:idx val="1"/>
          <c:order val="1"/>
          <c:tx>
            <c:strRef>
              <c:f>'Obliczenia EUR'!$P$3</c:f>
              <c:strCache>
                <c:ptCount val="1"/>
                <c:pt idx="0">
                  <c:v>07</c:v>
                </c:pt>
              </c:strCache>
            </c:strRef>
          </c:tx>
          <c:spPr>
            <a:solidFill>
              <a:srgbClr val="00B050"/>
            </a:solidFill>
            <a:ln>
              <a:solidFill>
                <a:sysClr val="windowText" lastClr="000000"/>
              </a:solidFill>
            </a:ln>
          </c:spPr>
          <c:dLbls>
            <c:dLbl>
              <c:idx val="0"/>
              <c:layout>
                <c:manualLayout>
                  <c:x val="1.9672131147541058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1.5300546448087518E-2"/>
                  <c:y val="0"/>
                </c:manualLayout>
              </c:layout>
              <c:showVal val="1"/>
            </c:dLbl>
            <c:dLbl>
              <c:idx val="2"/>
              <c:layout>
                <c:manualLayout>
                  <c:x val="1.9672131147541058E-2"/>
                  <c:y val="8.6206896551724223E-3"/>
                </c:manualLayout>
              </c:layout>
              <c:showVal val="1"/>
            </c:dLbl>
            <c:dLbl>
              <c:idx val="3"/>
              <c:layout>
                <c:manualLayout>
                  <c:x val="1.092878963900013E-2"/>
                  <c:y val="-2.8735632183908145E-3"/>
                </c:manualLayout>
              </c:layout>
              <c:showVal val="1"/>
            </c:dLbl>
            <c:dLbl>
              <c:idx val="4"/>
              <c:layout>
                <c:manualLayout>
                  <c:x val="3.2786885245901641E-2"/>
                  <c:y val="5.7471264367816282E-3"/>
                </c:manualLayout>
              </c:layout>
              <c:spPr/>
              <c:txPr>
                <a:bodyPr rot="-3240000" vert="horz"/>
                <a:lstStyle/>
                <a:p>
                  <a:pPr algn="ctr">
                    <a:defRPr sz="900" b="1" i="0" u="none" strike="noStrike" baseline="0">
                      <a:solidFill>
                        <a:srgbClr val="000000"/>
                      </a:solidFill>
                      <a:latin typeface="+mn-lt"/>
                      <a:ea typeface="Arial Narrow"/>
                      <a:cs typeface="Arial Narrow"/>
                    </a:defRPr>
                  </a:pPr>
                  <a:endParaRPr lang="pl-PL"/>
                </a:p>
              </c:txPr>
              <c:showVal val="1"/>
            </c:dLbl>
            <c:txPr>
              <a:bodyPr rot="-5400000" vert="horz"/>
              <a:lstStyle/>
              <a:p>
                <a:pPr algn="ctr">
                  <a:defRPr sz="900" b="1" i="0" u="none" strike="noStrike" baseline="0">
                    <a:solidFill>
                      <a:srgbClr val="000000"/>
                    </a:solidFill>
                    <a:latin typeface="+mn-lt"/>
                    <a:ea typeface="Arial Narrow"/>
                    <a:cs typeface="Arial Narrow"/>
                  </a:defRPr>
                </a:pPr>
                <a:endParaRPr lang="pl-PL"/>
              </a:p>
            </c:txPr>
            <c:showVal val="1"/>
          </c:dLbls>
          <c:cat>
            <c:strRef>
              <c:f>'Obliczenia EUR'!$A$4:$A$8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'Obliczenia EUR'!$P$4:$P$8</c:f>
              <c:numCache>
                <c:formatCode>_-* #,##0\ _z_ł_-;\-* #,##0\ _z_ł_-;_-* "-"??\ _z_ł_-;_-@_-</c:formatCode>
                <c:ptCount val="5"/>
                <c:pt idx="0">
                  <c:v>14885169.759324331</c:v>
                </c:pt>
                <c:pt idx="1">
                  <c:v>6362355.6873657592</c:v>
                </c:pt>
                <c:pt idx="2">
                  <c:v>2687941.7252489752</c:v>
                </c:pt>
                <c:pt idx="3">
                  <c:v>2255875.0073227892</c:v>
                </c:pt>
                <c:pt idx="4">
                  <c:v>212924.28480765468</c:v>
                </c:pt>
              </c:numCache>
            </c:numRef>
          </c:val>
        </c:ser>
        <c:ser>
          <c:idx val="0"/>
          <c:order val="2"/>
          <c:tx>
            <c:strRef>
              <c:f>'Obliczenia EUR'!$O$3</c:f>
              <c:strCache>
                <c:ptCount val="1"/>
                <c:pt idx="0">
                  <c:v>05</c:v>
                </c:pt>
              </c:strCache>
            </c:strRef>
          </c:tx>
          <c:spPr>
            <a:solidFill>
              <a:srgbClr val="FFC000"/>
            </a:solidFill>
            <a:ln>
              <a:solidFill>
                <a:sysClr val="windowText" lastClr="000000"/>
              </a:solidFill>
            </a:ln>
          </c:spPr>
          <c:dLbls>
            <c:dLbl>
              <c:idx val="0"/>
              <c:layout>
                <c:manualLayout>
                  <c:x val="1.0928961748633921E-2"/>
                  <c:y val="-5.7471264367816282E-3"/>
                </c:manualLayout>
              </c:layout>
              <c:showVal val="1"/>
            </c:dLbl>
            <c:dLbl>
              <c:idx val="1"/>
              <c:layout>
                <c:manualLayout>
                  <c:x val="1.3114754098360718E-2"/>
                  <c:y val="-5.7471264367816282E-3"/>
                </c:manualLayout>
              </c:layout>
              <c:showVal val="1"/>
            </c:dLbl>
            <c:dLbl>
              <c:idx val="2"/>
              <c:layout>
                <c:manualLayout>
                  <c:x val="1.0303967027305513E-2"/>
                  <c:y val="-9.1743119266055051E-3"/>
                </c:manualLayout>
              </c:layout>
              <c:showVal val="1"/>
            </c:dLbl>
            <c:dLbl>
              <c:idx val="3"/>
              <c:layout>
                <c:manualLayout>
                  <c:x val="1.3114754098360803E-2"/>
                  <c:y val="-8.6206896551724223E-3"/>
                </c:manualLayout>
              </c:layout>
              <c:showVal val="1"/>
            </c:dLbl>
            <c:dLbl>
              <c:idx val="4"/>
              <c:layout>
                <c:manualLayout>
                  <c:x val="1.236476043276662E-2"/>
                  <c:y val="-6.1162079510703434E-3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900" b="1" i="0" u="none" strike="noStrike" baseline="0">
                    <a:solidFill>
                      <a:srgbClr val="000000"/>
                    </a:solidFill>
                    <a:latin typeface="+mn-lt"/>
                    <a:ea typeface="Arial Narrow"/>
                    <a:cs typeface="Arial Narrow"/>
                  </a:defRPr>
                </a:pPr>
                <a:endParaRPr lang="pl-PL"/>
              </a:p>
            </c:txPr>
            <c:showVal val="1"/>
          </c:dLbls>
          <c:cat>
            <c:strRef>
              <c:f>'Obliczenia EUR'!$A$4:$A$8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'Obliczenia EUR'!$O$4:$O$8</c:f>
              <c:numCache>
                <c:formatCode>_-* #,##0.00\ _z_ł_-;\-* #,##0.00\ _z_ł_-;_-* "-"??\ _z_ł_-;_-@_-</c:formatCode>
                <c:ptCount val="5"/>
                <c:pt idx="0">
                  <c:v>160411.7970123023</c:v>
                </c:pt>
                <c:pt idx="1">
                  <c:v>39421.011521187254</c:v>
                </c:pt>
                <c:pt idx="2" formatCode="0">
                  <c:v>0</c:v>
                </c:pt>
                <c:pt idx="3">
                  <c:v>11908.799550868976</c:v>
                </c:pt>
                <c:pt idx="4" formatCode="0">
                  <c:v>0</c:v>
                </c:pt>
              </c:numCache>
            </c:numRef>
          </c:val>
        </c:ser>
        <c:ser>
          <c:idx val="3"/>
          <c:order val="3"/>
          <c:tx>
            <c:strRef>
              <c:f>'Obliczenia EUR'!$N$3</c:f>
              <c:strCache>
                <c:ptCount val="1"/>
                <c:pt idx="0">
                  <c:v>04</c:v>
                </c:pt>
              </c:strCache>
            </c:strRef>
          </c:tx>
          <c:spPr>
            <a:solidFill>
              <a:srgbClr val="C00000"/>
            </a:solidFill>
            <a:ln>
              <a:solidFill>
                <a:sysClr val="windowText" lastClr="000000"/>
              </a:solidFill>
            </a:ln>
          </c:spPr>
          <c:dLbls>
            <c:dLbl>
              <c:idx val="0"/>
              <c:layout>
                <c:manualLayout>
                  <c:x val="1.0928961748633921E-2"/>
                  <c:y val="-5.7471264367816282E-3"/>
                </c:manualLayout>
              </c:layout>
              <c:showVal val="1"/>
            </c:dLbl>
            <c:dLbl>
              <c:idx val="2"/>
              <c:layout>
                <c:manualLayout>
                  <c:x val="1.0303967027305589E-2"/>
                  <c:y val="-6.1162079510703434E-3"/>
                </c:manualLayout>
              </c:layout>
              <c:showVal val="1"/>
            </c:dLbl>
            <c:dLbl>
              <c:idx val="4"/>
              <c:layout>
                <c:manualLayout>
                  <c:x val="1.4425553838227741E-2"/>
                  <c:y val="-9.1743119266055051E-3"/>
                </c:manualLayout>
              </c:layout>
              <c:showVal val="1"/>
            </c:dLbl>
            <c:txPr>
              <a:bodyPr rot="-5400000" vert="horz"/>
              <a:lstStyle/>
              <a:p>
                <a:pPr>
                  <a:defRPr sz="900" b="1"/>
                </a:pPr>
                <a:endParaRPr lang="pl-PL"/>
              </a:p>
            </c:txPr>
            <c:showVal val="1"/>
          </c:dLbls>
          <c:cat>
            <c:strRef>
              <c:f>'Obliczenia EUR'!$A$4:$A$8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woj.śląskim</c:v>
                </c:pt>
              </c:strCache>
            </c:strRef>
          </c:cat>
          <c:val>
            <c:numRef>
              <c:f>'Obliczenia EUR'!$N$4:$N$8</c:f>
              <c:numCache>
                <c:formatCode>0</c:formatCode>
                <c:ptCount val="5"/>
                <c:pt idx="0" formatCode="_-* #,##0.00\ _z_ł_-;\-* #,##0.00\ _z_ł_-;_-* &quot;-&quot;??\ _z_ł_-;_-@_-">
                  <c:v>21663.678968951339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</c:numCache>
            </c:numRef>
          </c:val>
        </c:ser>
        <c:dLbls>
          <c:showVal val="1"/>
        </c:dLbls>
        <c:shape val="box"/>
        <c:axId val="120271232"/>
        <c:axId val="120272768"/>
        <c:axId val="0"/>
      </c:bar3DChart>
      <c:catAx>
        <c:axId val="12027123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20272768"/>
        <c:crosses val="autoZero"/>
        <c:auto val="1"/>
        <c:lblAlgn val="ctr"/>
        <c:lblOffset val="100"/>
      </c:catAx>
      <c:valAx>
        <c:axId val="120272768"/>
        <c:scaling>
          <c:orientation val="minMax"/>
        </c:scaling>
        <c:axPos val="l"/>
        <c:majorGridlines/>
        <c:numFmt formatCode="_-* #,##0\ _z_ł_-;\-* #,##0\ _z_ł_-;_-* &quot;-&quot;??\ _z_ł_-;_-@_-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20271232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38262570457381473"/>
          <c:y val="0.90206059371888869"/>
          <c:w val="0.2216338367540123"/>
          <c:h val="5.1962394786858539E-2"/>
        </c:manualLayout>
      </c:layout>
      <c:txPr>
        <a:bodyPr/>
        <a:lstStyle/>
        <a:p>
          <a:pPr>
            <a:defRPr sz="10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pl-PL"/>
        </a:p>
      </c:txPr>
    </c:legend>
    <c:plotVisOnly val="1"/>
    <c:dispBlanksAs val="gap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/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Poziom wykorzystania indykatywnej</a:t>
            </a:r>
            <a:r>
              <a:rPr lang="pl-PL" sz="1200" i="1" baseline="0">
                <a:latin typeface="Times New Roman" pitchFamily="18" charset="0"/>
                <a:cs typeface="Times New Roman" pitchFamily="18" charset="0"/>
              </a:rPr>
              <a:t> alokacji przeznaczonej na poszczególne kategorie interwencji</a:t>
            </a:r>
            <a:endParaRPr lang="en-US" sz="1200" i="1">
              <a:latin typeface="Times New Roman" pitchFamily="18" charset="0"/>
              <a:cs typeface="Times New Roman" pitchFamily="18" charset="0"/>
            </a:endParaRPr>
          </a:p>
        </c:rich>
      </c:tx>
    </c:title>
    <c:view3D>
      <c:depthPercent val="100"/>
      <c:rAngAx val="1"/>
    </c:view3D>
    <c:plotArea>
      <c:layout>
        <c:manualLayout>
          <c:layoutTarget val="inner"/>
          <c:xMode val="edge"/>
          <c:yMode val="edge"/>
          <c:x val="6.8970929532012087E-2"/>
          <c:y val="0.20598802395209648"/>
          <c:w val="0.85518747282338503"/>
          <c:h val="0.61383406415515462"/>
        </c:manualLayout>
      </c:layout>
      <c:bar3DChart>
        <c:barDir val="bar"/>
        <c:grouping val="clustered"/>
        <c:ser>
          <c:idx val="0"/>
          <c:order val="0"/>
          <c:tx>
            <c:strRef>
              <c:f>'Obliczenia EUR'!$C$47:$D$47</c:f>
              <c:strCache>
                <c:ptCount val="1"/>
                <c:pt idx="0">
                  <c:v>zakończone projekty</c:v>
                </c:pt>
              </c:strCache>
            </c:strRef>
          </c:tx>
          <c:spPr>
            <a:solidFill>
              <a:srgbClr val="FAF40C"/>
            </a:solidFill>
            <a:ln>
              <a:solidFill>
                <a:schemeClr val="tx1"/>
              </a:solidFill>
            </a:ln>
          </c:spPr>
          <c:dLbls>
            <c:dLbl>
              <c:idx val="2"/>
              <c:layout>
                <c:manualLayout>
                  <c:x val="0"/>
                  <c:y val="7.4269005847953347E-3"/>
                </c:manualLayout>
              </c:layout>
              <c:showVal val="1"/>
            </c:dLbl>
            <c:dLbl>
              <c:idx val="3"/>
              <c:layout>
                <c:manualLayout>
                  <c:x val="4.879074264151421E-17"/>
                  <c:y val="7.4269005847953347E-3"/>
                </c:manualLayout>
              </c:layout>
              <c:showVal val="1"/>
            </c:dLbl>
            <c:txPr>
              <a:bodyPr/>
              <a:lstStyle/>
              <a:p>
                <a:pPr>
                  <a:defRPr b="1"/>
                </a:pPr>
                <a:endParaRPr lang="pl-PL"/>
              </a:p>
            </c:txPr>
            <c:showVal val="1"/>
          </c:dLbls>
          <c:cat>
            <c:strRef>
              <c:f>'Obliczenia EUR'!$A$48:$A$51</c:f>
              <c:strCache>
                <c:ptCount val="4"/>
                <c:pt idx="0">
                  <c:v>04</c:v>
                </c:pt>
                <c:pt idx="1">
                  <c:v>05</c:v>
                </c:pt>
                <c:pt idx="2">
                  <c:v>07</c:v>
                </c:pt>
                <c:pt idx="3">
                  <c:v>08</c:v>
                </c:pt>
              </c:strCache>
            </c:strRef>
          </c:cat>
          <c:val>
            <c:numRef>
              <c:f>'Obliczenia EUR'!$D$48:$D$51</c:f>
              <c:numCache>
                <c:formatCode>0.00%</c:formatCode>
                <c:ptCount val="4"/>
                <c:pt idx="0">
                  <c:v>7.5159702545341575E-4</c:v>
                </c:pt>
                <c:pt idx="1">
                  <c:v>1.7324928562654232E-2</c:v>
                </c:pt>
                <c:pt idx="2">
                  <c:v>0.84820961808235462</c:v>
                </c:pt>
                <c:pt idx="3">
                  <c:v>0.46152468527586793</c:v>
                </c:pt>
              </c:numCache>
            </c:numRef>
          </c:val>
        </c:ser>
        <c:ser>
          <c:idx val="1"/>
          <c:order val="1"/>
          <c:tx>
            <c:strRef>
              <c:f>'Obliczenia EUR'!$F$47</c:f>
              <c:strCache>
                <c:ptCount val="1"/>
                <c:pt idx="0">
                  <c:v>zawarte umowy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  <a:ln>
              <a:solidFill>
                <a:schemeClr val="tx1"/>
              </a:solidFill>
            </a:ln>
          </c:spPr>
          <c:dLbls>
            <c:dLbl>
              <c:idx val="3"/>
              <c:layout>
                <c:manualLayout>
                  <c:x val="0"/>
                  <c:y val="1.1140350877192983E-2"/>
                </c:manualLayout>
              </c:layout>
              <c:showVal val="1"/>
            </c:dLbl>
            <c:txPr>
              <a:bodyPr/>
              <a:lstStyle/>
              <a:p>
                <a:pPr>
                  <a:defRPr b="1"/>
                </a:pPr>
                <a:endParaRPr lang="pl-PL"/>
              </a:p>
            </c:txPr>
            <c:showVal val="1"/>
          </c:dLbls>
          <c:cat>
            <c:strRef>
              <c:f>'Obliczenia EUR'!$A$48:$A$51</c:f>
              <c:strCache>
                <c:ptCount val="4"/>
                <c:pt idx="0">
                  <c:v>04</c:v>
                </c:pt>
                <c:pt idx="1">
                  <c:v>05</c:v>
                </c:pt>
                <c:pt idx="2">
                  <c:v>07</c:v>
                </c:pt>
                <c:pt idx="3">
                  <c:v>08</c:v>
                </c:pt>
              </c:strCache>
            </c:strRef>
          </c:cat>
          <c:val>
            <c:numRef>
              <c:f>'Obliczenia EUR'!$F$48:$F$51</c:f>
              <c:numCache>
                <c:formatCode>0.00%</c:formatCode>
                <c:ptCount val="4"/>
                <c:pt idx="0">
                  <c:v>7.5159702545341575E-4</c:v>
                </c:pt>
                <c:pt idx="1">
                  <c:v>1.789273111755308E-2</c:v>
                </c:pt>
                <c:pt idx="2">
                  <c:v>1.2493248888150132</c:v>
                </c:pt>
                <c:pt idx="3">
                  <c:v>0.74991233984787253</c:v>
                </c:pt>
              </c:numCache>
            </c:numRef>
          </c:val>
        </c:ser>
        <c:ser>
          <c:idx val="2"/>
          <c:order val="2"/>
          <c:tx>
            <c:strRef>
              <c:f>[1]opracowanie!$H$47</c:f>
              <c:strCache>
                <c:ptCount val="1"/>
                <c:pt idx="0">
                  <c:v>alokacja</c:v>
                </c:pt>
              </c:strCache>
            </c:strRef>
          </c:tx>
          <c:spPr>
            <a:solidFill>
              <a:srgbClr val="92D050"/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-3.6588240841152475E-4"/>
                  <c:y val="-0.16223216374269075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100%</a:t>
                    </a:r>
                    <a:r>
                      <a:rPr lang="pl-PL" b="1"/>
                      <a:t> </a:t>
                    </a:r>
                  </a:p>
                  <a:p>
                    <a:r>
                      <a:rPr lang="pl-PL" b="1"/>
                      <a:t>12,22 mln EUR </a:t>
                    </a:r>
                    <a:endParaRPr lang="en-US"/>
                  </a:p>
                </c:rich>
              </c:tx>
            </c:dLbl>
            <c:dLbl>
              <c:idx val="1"/>
              <c:layout>
                <c:manualLayout>
                  <c:x val="-4.8239479047155033E-4"/>
                  <c:y val="-0.18648812610998491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100%</a:t>
                    </a:r>
                    <a:r>
                      <a:rPr lang="pl-PL" b="1"/>
                      <a:t> </a:t>
                    </a:r>
                  </a:p>
                  <a:p>
                    <a:r>
                      <a:rPr lang="pl-PL" b="1"/>
                      <a:t>31,13</a:t>
                    </a:r>
                    <a:r>
                      <a:rPr lang="pl-PL" b="1" baseline="0"/>
                      <a:t> mln EUR</a:t>
                    </a:r>
                    <a:endParaRPr lang="en-US"/>
                  </a:p>
                </c:rich>
              </c:tx>
            </c:dLbl>
            <c:dLbl>
              <c:idx val="2"/>
              <c:layout>
                <c:manualLayout>
                  <c:x val="4.2581503659347994E-3"/>
                  <c:y val="-0.18169204897292118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100%</a:t>
                    </a:r>
                    <a:r>
                      <a:rPr lang="pl-PL" b="1"/>
                      <a:t> </a:t>
                    </a:r>
                    <a:r>
                      <a:rPr lang="pl-PL" b="1" baseline="0"/>
                      <a:t> </a:t>
                    </a:r>
                  </a:p>
                  <a:p>
                    <a:r>
                      <a:rPr lang="pl-PL" b="1" baseline="0"/>
                      <a:t>165,42 mln EUR</a:t>
                    </a:r>
                    <a:endParaRPr lang="pl-PL"/>
                  </a:p>
                </c:rich>
              </c:tx>
            </c:dLbl>
            <c:dLbl>
              <c:idx val="3"/>
              <c:delete val="1"/>
            </c:dLbl>
            <c:txPr>
              <a:bodyPr/>
              <a:lstStyle/>
              <a:p>
                <a:pPr>
                  <a:defRPr b="1"/>
                </a:pPr>
                <a:endParaRPr lang="pl-PL"/>
              </a:p>
            </c:txPr>
            <c:showVal val="1"/>
          </c:dLbls>
          <c:cat>
            <c:strRef>
              <c:f>'Obliczenia EUR'!$A$48:$A$51</c:f>
              <c:strCache>
                <c:ptCount val="4"/>
                <c:pt idx="0">
                  <c:v>04</c:v>
                </c:pt>
                <c:pt idx="1">
                  <c:v>05</c:v>
                </c:pt>
                <c:pt idx="2">
                  <c:v>07</c:v>
                </c:pt>
                <c:pt idx="3">
                  <c:v>08</c:v>
                </c:pt>
              </c:strCache>
            </c:strRef>
          </c:cat>
          <c:val>
            <c:numRef>
              <c:f>'Obliczenia EUR'!$G$48:$G$51</c:f>
              <c:numCache>
                <c:formatCode>0%</c:formatCode>
                <c:ptCount val="4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</c:numCache>
            </c:numRef>
          </c:val>
        </c:ser>
        <c:gapWidth val="148"/>
        <c:gapDepth val="134"/>
        <c:shape val="box"/>
        <c:axId val="120324864"/>
        <c:axId val="120326400"/>
        <c:axId val="0"/>
      </c:bar3DChart>
      <c:catAx>
        <c:axId val="120324864"/>
        <c:scaling>
          <c:orientation val="minMax"/>
        </c:scaling>
        <c:axPos val="l"/>
        <c:numFmt formatCode="@" sourceLinked="1"/>
        <c:tickLblPos val="nextTo"/>
        <c:crossAx val="120326400"/>
        <c:crosses val="autoZero"/>
        <c:auto val="1"/>
        <c:lblAlgn val="ctr"/>
        <c:lblOffset val="100"/>
      </c:catAx>
      <c:valAx>
        <c:axId val="120326400"/>
        <c:scaling>
          <c:orientation val="minMax"/>
        </c:scaling>
        <c:axPos val="b"/>
        <c:numFmt formatCode="0.00%" sourceLinked="1"/>
        <c:tickLblPos val="nextTo"/>
        <c:crossAx val="120324864"/>
        <c:crosses val="autoZero"/>
        <c:crossBetween val="between"/>
      </c:valAx>
      <c:spPr>
        <a:noFill/>
        <a:ln w="25400">
          <a:noFill/>
        </a:ln>
        <a:scene3d>
          <a:camera prst="orthographicFront"/>
          <a:lightRig rig="threePt" dir="t"/>
        </a:scene3d>
        <a:sp3d>
          <a:bevelT h="6350"/>
        </a:sp3d>
      </c:spPr>
    </c:plotArea>
    <c:legend>
      <c:legendPos val="b"/>
    </c:legend>
    <c:plotVisOnly val="1"/>
    <c:dispBlanksAs val="gap"/>
  </c:chart>
  <c:externalData r:id="rId1"/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style val="26"/>
  <c:chart>
    <c:title>
      <c:tx>
        <c:rich>
          <a:bodyPr/>
          <a:lstStyle/>
          <a:p>
            <a:pPr algn="ctr">
              <a:defRPr sz="1200" i="1">
                <a:latin typeface="Times New Roman" pitchFamily="18" charset="0"/>
                <a:cs typeface="Times New Roman" pitchFamily="18" charset="0"/>
              </a:defRPr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% udział przedsiębiorstw z sektora MSP w woj.</a:t>
            </a:r>
            <a:r>
              <a:rPr lang="pl-PL" sz="1200" i="1" baseline="0">
                <a:latin typeface="Times New Roman" pitchFamily="18" charset="0"/>
                <a:cs typeface="Times New Roman" pitchFamily="18" charset="0"/>
              </a:rPr>
              <a:t> śląskim</a:t>
            </a:r>
            <a:endParaRPr lang="pl-PL" sz="1200" i="1">
              <a:latin typeface="Times New Roman" pitchFamily="18" charset="0"/>
              <a:cs typeface="Times New Roman" pitchFamily="18" charset="0"/>
            </a:endParaRPr>
          </a:p>
        </c:rich>
      </c:tx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9.3055555555556405E-2"/>
          <c:y val="0.19035542432195968"/>
          <c:w val="0.88543899754466149"/>
          <c:h val="0.68496966105043322"/>
        </c:manualLayout>
      </c:layout>
      <c:pie3DChart>
        <c:varyColors val="1"/>
        <c:ser>
          <c:idx val="0"/>
          <c:order val="0"/>
          <c:explosion val="22"/>
          <c:dPt>
            <c:idx val="0"/>
            <c:explosion val="4"/>
          </c:dPt>
          <c:dLbls>
            <c:dLbl>
              <c:idx val="0"/>
              <c:layout>
                <c:manualLayout>
                  <c:x val="0.21748381452318474"/>
                  <c:y val="-7.4114173228347017E-3"/>
                </c:manualLayout>
              </c:layout>
              <c:showPercent val="1"/>
            </c:dLbl>
            <c:dLbl>
              <c:idx val="1"/>
              <c:layout>
                <c:manualLayout>
                  <c:x val="-0.23540560118157294"/>
                  <c:y val="-1.6016425366184164E-2"/>
                </c:manualLayout>
              </c:layout>
              <c:showPercent val="1"/>
            </c:dLbl>
            <c:dLbl>
              <c:idx val="2"/>
              <c:layout>
                <c:manualLayout>
                  <c:x val="0.16445535705886241"/>
                  <c:y val="-2.3539355967600841E-2"/>
                </c:manualLayout>
              </c:layout>
              <c:showPercent val="1"/>
            </c:dLbl>
            <c:txPr>
              <a:bodyPr/>
              <a:lstStyle/>
              <a:p>
                <a:pPr>
                  <a:defRPr sz="1200"/>
                </a:pPr>
                <a:endParaRPr lang="pl-PL"/>
              </a:p>
            </c:txPr>
            <c:showPercent val="1"/>
            <c:showLeaderLines val="1"/>
          </c:dLbls>
          <c:cat>
            <c:strRef>
              <c:f>Obliczenia!$C$88:$E$88</c:f>
              <c:strCache>
                <c:ptCount val="3"/>
                <c:pt idx="0">
                  <c:v>MIKRO</c:v>
                </c:pt>
                <c:pt idx="1">
                  <c:v>MAŁE</c:v>
                </c:pt>
                <c:pt idx="2">
                  <c:v>ŚREDNIE</c:v>
                </c:pt>
              </c:strCache>
            </c:strRef>
          </c:cat>
          <c:val>
            <c:numRef>
              <c:f>Obliczenia!$C$89:$E$89</c:f>
              <c:numCache>
                <c:formatCode>General</c:formatCode>
                <c:ptCount val="3"/>
                <c:pt idx="0">
                  <c:v>429909</c:v>
                </c:pt>
                <c:pt idx="1">
                  <c:v>19302</c:v>
                </c:pt>
                <c:pt idx="2">
                  <c:v>3708</c:v>
                </c:pt>
              </c:numCache>
            </c:numRef>
          </c:val>
        </c:ser>
        <c:dLbls>
          <c:showPercent val="1"/>
        </c:dLbls>
      </c:pie3DChart>
    </c:plotArea>
    <c:legend>
      <c:legendPos val="t"/>
      <c:layout>
        <c:manualLayout>
          <c:xMode val="edge"/>
          <c:yMode val="edge"/>
          <c:x val="0.29571510550428531"/>
          <c:y val="0.85815793187141931"/>
          <c:w val="0.36038401113839447"/>
          <c:h val="6.6995456213134644E-2"/>
        </c:manualLayout>
      </c:layout>
      <c:txPr>
        <a:bodyPr/>
        <a:lstStyle/>
        <a:p>
          <a:pPr>
            <a:defRPr sz="1050"/>
          </a:pPr>
          <a:endParaRPr lang="pl-PL"/>
        </a:p>
      </c:txPr>
    </c:legend>
    <c:plotVisOnly val="1"/>
    <c:dispBlanksAs val="zero"/>
  </c:chart>
  <c:externalData r:id="rId1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200" b="1" i="1" u="none" strike="noStrike" baseline="0">
                <a:solidFill>
                  <a:srgbClr val="000000"/>
                </a:solidFill>
                <a:latin typeface="Times New Roman" pitchFamily="18" charset="0"/>
                <a:ea typeface="Calibri"/>
                <a:cs typeface="Times New Roman" pitchFamily="18" charset="0"/>
              </a:defRPr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Podpisane umowy o dofinansowanie wg. wielkości przedsiębiorstw</a:t>
            </a:r>
          </a:p>
        </c:rich>
      </c:tx>
      <c:layout>
        <c:manualLayout>
          <c:xMode val="edge"/>
          <c:yMode val="edge"/>
          <c:x val="0.12136200716845882"/>
          <c:y val="2.3577725607518071E-2"/>
        </c:manualLayout>
      </c:layout>
    </c:title>
    <c:plotArea>
      <c:layout>
        <c:manualLayout>
          <c:layoutTarget val="inner"/>
          <c:xMode val="edge"/>
          <c:yMode val="edge"/>
          <c:x val="0.18859919537084932"/>
          <c:y val="0.18737125773716823"/>
          <c:w val="0.61820691332502364"/>
          <c:h val="0.63422431821690761"/>
        </c:manualLayout>
      </c:layout>
      <c:barChart>
        <c:barDir val="col"/>
        <c:grouping val="clustered"/>
        <c:ser>
          <c:idx val="1"/>
          <c:order val="1"/>
          <c:tx>
            <c:strRef>
              <c:f>'Obliczenia EUR'!$C$2</c:f>
              <c:strCache>
                <c:ptCount val="1"/>
                <c:pt idx="0">
                  <c:v>Wartość dof. z umów</c:v>
                </c:pt>
              </c:strCache>
            </c:strRef>
          </c:tx>
          <c:spPr>
            <a:solidFill>
              <a:schemeClr val="bg1">
                <a:lumMod val="75000"/>
              </a:schemeClr>
            </a:solidFill>
            <a:ln>
              <a:solidFill>
                <a:schemeClr val="bg1">
                  <a:lumMod val="50000"/>
                </a:schemeClr>
              </a:solidFill>
            </a:ln>
            <a:scene3d>
              <a:camera prst="orthographicFront"/>
              <a:lightRig rig="balanced" dir="t">
                <a:rot lat="0" lon="0" rev="8700000"/>
              </a:lightRig>
            </a:scene3d>
            <a:sp3d>
              <a:bevelT w="190500" h="38100"/>
            </a:sp3d>
          </c:spPr>
          <c:dLbls>
            <c:dLbl>
              <c:idx val="4"/>
              <c:layout>
                <c:manualLayout>
                  <c:x val="-2.5740025740025796E-3"/>
                  <c:y val="5.857742782152283E-2"/>
                </c:manualLayout>
              </c:layout>
              <c:spPr/>
              <c:txPr>
                <a:bodyPr/>
                <a:lstStyle/>
                <a:p>
                  <a:pPr>
                    <a:defRPr sz="9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pl-PL"/>
                </a:p>
              </c:txPr>
              <c:dLblPos val="outEnd"/>
              <c:showVal val="1"/>
            </c:dLbl>
            <c:txPr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dLblPos val="ctr"/>
            <c:showVal val="1"/>
          </c:dLbls>
          <c:cat>
            <c:strRef>
              <c:f>'Obliczenia EUR'!$A$3:$A$5</c:f>
              <c:strCache>
                <c:ptCount val="3"/>
                <c:pt idx="0">
                  <c:v>MIKRO</c:v>
                </c:pt>
                <c:pt idx="1">
                  <c:v>MAŁE</c:v>
                </c:pt>
                <c:pt idx="2">
                  <c:v>ŚREDNIE</c:v>
                </c:pt>
              </c:strCache>
            </c:strRef>
          </c:cat>
          <c:val>
            <c:numRef>
              <c:f>'Obliczenia EUR'!$C$3:$C$5</c:f>
              <c:numCache>
                <c:formatCode>_-* #,##0.00\ _z_ł_-;\-* #,##0.00\ _z_ł_-;_-* "-"??\ _z_ł_-;_-@_-</c:formatCode>
                <c:ptCount val="3"/>
                <c:pt idx="0">
                  <c:v>38288159.251122825</c:v>
                </c:pt>
                <c:pt idx="1">
                  <c:v>83857285.04930681</c:v>
                </c:pt>
                <c:pt idx="2">
                  <c:v>41038311.975200176</c:v>
                </c:pt>
              </c:numCache>
            </c:numRef>
          </c:val>
        </c:ser>
        <c:gapWidth val="75"/>
        <c:axId val="120622464"/>
        <c:axId val="120628352"/>
      </c:barChart>
      <c:lineChart>
        <c:grouping val="standard"/>
        <c:ser>
          <c:idx val="0"/>
          <c:order val="0"/>
          <c:tx>
            <c:strRef>
              <c:f>'Obliczenia EUR'!$B$2</c:f>
              <c:strCache>
                <c:ptCount val="1"/>
                <c:pt idx="0">
                  <c:v>Liczba  podpisanych umów</c:v>
                </c:pt>
              </c:strCache>
            </c:strRef>
          </c:tx>
          <c:spPr>
            <a:ln>
              <a:solidFill>
                <a:srgbClr val="0640C2"/>
              </a:solidFill>
            </a:ln>
          </c:spPr>
          <c:marker>
            <c:symbol val="square"/>
            <c:size val="5"/>
            <c:spPr>
              <a:solidFill>
                <a:srgbClr val="0640C2"/>
              </a:solidFill>
            </c:spPr>
          </c:marker>
          <c:dLbls>
            <c:dLbl>
              <c:idx val="0"/>
              <c:layout>
                <c:manualLayout>
                  <c:x val="-4.8906048906048924E-2"/>
                  <c:y val="-4.44444444444445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8018043443494294E-2"/>
                  <c:y val="-0.12684464573854387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444015444015581E-2"/>
                  <c:y val="-3.333333333333335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029601029601032E-2"/>
                  <c:y val="-5.55555555555554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5740025740025752E-2"/>
                  <c:y val="-4.074074074074079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640C2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'Obliczenia EUR'!$A$3:$A$5</c:f>
              <c:strCache>
                <c:ptCount val="3"/>
                <c:pt idx="0">
                  <c:v>MIKRO</c:v>
                </c:pt>
                <c:pt idx="1">
                  <c:v>MAŁE</c:v>
                </c:pt>
                <c:pt idx="2">
                  <c:v>ŚREDNIE</c:v>
                </c:pt>
              </c:strCache>
            </c:strRef>
          </c:cat>
          <c:val>
            <c:numRef>
              <c:f>'Obliczenia EUR'!$B$3:$B$5</c:f>
              <c:numCache>
                <c:formatCode>General</c:formatCode>
                <c:ptCount val="3"/>
                <c:pt idx="0">
                  <c:v>1057</c:v>
                </c:pt>
                <c:pt idx="1">
                  <c:v>974</c:v>
                </c:pt>
                <c:pt idx="2">
                  <c:v>547</c:v>
                </c:pt>
              </c:numCache>
            </c:numRef>
          </c:val>
        </c:ser>
        <c:marker val="1"/>
        <c:axId val="120668928"/>
        <c:axId val="120630272"/>
      </c:lineChart>
      <c:catAx>
        <c:axId val="120622464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 sz="10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20628352"/>
        <c:crosses val="autoZero"/>
        <c:auto val="1"/>
        <c:lblAlgn val="ctr"/>
        <c:lblOffset val="100"/>
      </c:catAx>
      <c:valAx>
        <c:axId val="120628352"/>
        <c:scaling>
          <c:orientation val="minMax"/>
          <c:max val="90000000"/>
        </c:scaling>
        <c:axPos val="l"/>
        <c:majorGridlines/>
        <c:numFmt formatCode="_-* #,##0.00\ _z_ł_-;\-* #,##0.00\ _z_ł_-;_-* &quot;-&quot;??\ _z_ł_-;_-@_-" sourceLinked="1"/>
        <c:maj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20622464"/>
        <c:crosses val="autoZero"/>
        <c:crossBetween val="between"/>
        <c:dispUnits>
          <c:builtInUnit val="millions"/>
          <c:dispUnitsLbl>
            <c:layout>
              <c:manualLayout>
                <c:xMode val="edge"/>
                <c:yMode val="edge"/>
                <c:x val="5.7654212142401184E-2"/>
                <c:y val="8.0633712452610085E-2"/>
              </c:manualLayout>
            </c:layout>
            <c:tx>
              <c:rich>
                <a:bodyPr rot="0" vert="horz"/>
                <a:lstStyle/>
                <a:p>
                  <a:pPr algn="ctr">
                    <a:defRPr sz="10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r>
                    <a:rPr lang="pl-PL"/>
                    <a:t>mln EUR</a:t>
                  </a:r>
                </a:p>
              </c:rich>
            </c:tx>
          </c:dispUnitsLbl>
        </c:dispUnits>
      </c:valAx>
      <c:valAx>
        <c:axId val="120630272"/>
        <c:scaling>
          <c:orientation val="minMax"/>
        </c:scaling>
        <c:axPos val="r"/>
        <c:numFmt formatCode="General" sourceLinked="1"/>
        <c:tickLblPos val="nextTo"/>
        <c:crossAx val="120668928"/>
        <c:crosses val="max"/>
        <c:crossBetween val="between"/>
      </c:valAx>
      <c:catAx>
        <c:axId val="120668928"/>
        <c:scaling>
          <c:orientation val="minMax"/>
        </c:scaling>
        <c:delete val="1"/>
        <c:axPos val="b"/>
        <c:tickLblPos val="none"/>
        <c:crossAx val="120630272"/>
        <c:crosses val="autoZero"/>
        <c:auto val="1"/>
        <c:lblAlgn val="ctr"/>
        <c:lblOffset val="100"/>
      </c:catAx>
    </c:plotArea>
    <c:legend>
      <c:legendPos val="b"/>
      <c:txPr>
        <a:bodyPr/>
        <a:lstStyle/>
        <a:p>
          <a:pPr>
            <a:defRPr sz="1000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pl-PL"/>
        </a:p>
      </c:txPr>
    </c:legend>
    <c:plotVisOnly val="1"/>
    <c:dispBlanksAs val="gap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pl-PL"/>
  <c:chart>
    <c:title>
      <c:tx>
        <c:rich>
          <a:bodyPr/>
          <a:lstStyle/>
          <a:p>
            <a:pPr>
              <a:defRPr sz="1200" b="1" i="1" u="none" strike="noStrike" baseline="0">
                <a:solidFill>
                  <a:srgbClr val="000000"/>
                </a:solidFill>
                <a:latin typeface="Times New Roman" pitchFamily="18" charset="0"/>
                <a:ea typeface="Calibri"/>
                <a:cs typeface="Times New Roman" pitchFamily="18" charset="0"/>
              </a:defRPr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Zakończone projekty wg. wielkości przedsiębiorstw</a:t>
            </a:r>
          </a:p>
        </c:rich>
      </c:tx>
      <c:layout>
        <c:manualLayout>
          <c:xMode val="edge"/>
          <c:yMode val="edge"/>
          <c:x val="0.21464524765729706"/>
          <c:y val="3.1183368266017242E-2"/>
        </c:manualLayout>
      </c:layout>
    </c:title>
    <c:plotArea>
      <c:layout>
        <c:manualLayout>
          <c:layoutTarget val="inner"/>
          <c:xMode val="edge"/>
          <c:yMode val="edge"/>
          <c:x val="0.21712087193920038"/>
          <c:y val="0.17313922090673919"/>
          <c:w val="0.63064895013123612"/>
          <c:h val="0.60133173760184033"/>
        </c:manualLayout>
      </c:layout>
      <c:barChart>
        <c:barDir val="col"/>
        <c:grouping val="clustered"/>
        <c:ser>
          <c:idx val="1"/>
          <c:order val="1"/>
          <c:tx>
            <c:strRef>
              <c:f>'Obliczenia EUR'!$F$2</c:f>
              <c:strCache>
                <c:ptCount val="1"/>
                <c:pt idx="0">
                  <c:v>Wartość dof. z zakończonych projektów</c:v>
                </c:pt>
              </c:strCache>
            </c:strRef>
          </c:tx>
          <c:spPr>
            <a:solidFill>
              <a:srgbClr val="04AC80"/>
            </a:solidFill>
            <a:ln>
              <a:solidFill>
                <a:srgbClr val="04AC80"/>
              </a:solidFill>
            </a:ln>
            <a:scene3d>
              <a:camera prst="orthographicFront"/>
              <a:lightRig rig="balanced" dir="t">
                <a:rot lat="0" lon="0" rev="8700000"/>
              </a:lightRig>
            </a:scene3d>
            <a:sp3d>
              <a:bevelT w="190500" h="38100"/>
            </a:sp3d>
          </c:spPr>
          <c:dLbls>
            <c:dLbl>
              <c:idx val="4"/>
              <c:layout>
                <c:manualLayout>
                  <c:x val="-2.5740025740025796E-3"/>
                  <c:y val="5.8577427821522865E-2"/>
                </c:manualLayout>
              </c:layout>
              <c:spPr/>
              <c:txPr>
                <a:bodyPr/>
                <a:lstStyle/>
                <a:p>
                  <a:pPr>
                    <a:defRPr sz="9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pl-PL"/>
                </a:p>
              </c:txPr>
              <c:dLblPos val="outEnd"/>
              <c:showVal val="1"/>
            </c:dLbl>
            <c:txPr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dLblPos val="ctr"/>
            <c:showVal val="1"/>
          </c:dLbls>
          <c:cat>
            <c:strRef>
              <c:f>'Obliczenia EUR'!$A$3:$A$5</c:f>
              <c:strCache>
                <c:ptCount val="3"/>
                <c:pt idx="0">
                  <c:v>MIKRO</c:v>
                </c:pt>
                <c:pt idx="1">
                  <c:v>MAŁE</c:v>
                </c:pt>
                <c:pt idx="2">
                  <c:v>ŚREDNIE</c:v>
                </c:pt>
              </c:strCache>
            </c:strRef>
          </c:cat>
          <c:val>
            <c:numRef>
              <c:f>'Obliczenia EUR'!$F$3:$F$5</c:f>
              <c:numCache>
                <c:formatCode>_-* #,##0.00\ _z_ł_-;\-* #,##0.00\ _z_ł_-;_-* "-"??\ _z_ł_-;_-@_-</c:formatCode>
                <c:ptCount val="3"/>
                <c:pt idx="0">
                  <c:v>27465831.188244466</c:v>
                </c:pt>
                <c:pt idx="1">
                  <c:v>52704151.076449923</c:v>
                </c:pt>
                <c:pt idx="2">
                  <c:v>22814434.287736747</c:v>
                </c:pt>
              </c:numCache>
            </c:numRef>
          </c:val>
        </c:ser>
        <c:gapWidth val="75"/>
        <c:axId val="120708480"/>
        <c:axId val="120714368"/>
      </c:barChart>
      <c:lineChart>
        <c:grouping val="standard"/>
        <c:ser>
          <c:idx val="0"/>
          <c:order val="0"/>
          <c:tx>
            <c:strRef>
              <c:f>'Obliczenia EUR'!$E$2</c:f>
              <c:strCache>
                <c:ptCount val="1"/>
                <c:pt idx="0">
                  <c:v>Liczba zakończonych projektów</c:v>
                </c:pt>
              </c:strCache>
            </c:strRef>
          </c:tx>
          <c:spPr>
            <a:ln>
              <a:solidFill>
                <a:srgbClr val="0640C2"/>
              </a:solidFill>
            </a:ln>
          </c:spPr>
          <c:marker>
            <c:symbol val="square"/>
            <c:size val="5"/>
            <c:spPr>
              <a:solidFill>
                <a:srgbClr val="0640C2"/>
              </a:solidFill>
            </c:spPr>
          </c:marker>
          <c:dLbls>
            <c:dLbl>
              <c:idx val="0"/>
              <c:layout>
                <c:manualLayout>
                  <c:x val="-8.1034479123844982E-2"/>
                  <c:y val="3.5171862509992195E-3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740025740025752E-2"/>
                  <c:y val="-8.518518518518521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44401544401559E-2"/>
                  <c:y val="-3.333333333333335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029601029601032E-2"/>
                  <c:y val="-5.55555555555554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5740025740025752E-2"/>
                  <c:y val="-4.074074074074079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640C2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'Obliczenia EUR'!$A$3:$A$5</c:f>
              <c:strCache>
                <c:ptCount val="3"/>
                <c:pt idx="0">
                  <c:v>MIKRO</c:v>
                </c:pt>
                <c:pt idx="1">
                  <c:v>MAŁE</c:v>
                </c:pt>
                <c:pt idx="2">
                  <c:v>ŚREDNIE</c:v>
                </c:pt>
              </c:strCache>
            </c:strRef>
          </c:cat>
          <c:val>
            <c:numRef>
              <c:f>'Obliczenia EUR'!$E$3:$E$5</c:f>
              <c:numCache>
                <c:formatCode>General</c:formatCode>
                <c:ptCount val="3"/>
                <c:pt idx="0">
                  <c:v>828</c:v>
                </c:pt>
                <c:pt idx="1">
                  <c:v>720</c:v>
                </c:pt>
                <c:pt idx="2">
                  <c:v>401</c:v>
                </c:pt>
              </c:numCache>
            </c:numRef>
          </c:val>
        </c:ser>
        <c:marker val="1"/>
        <c:axId val="120746752"/>
        <c:axId val="120716288"/>
      </c:lineChart>
      <c:catAx>
        <c:axId val="120708480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 sz="10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20714368"/>
        <c:crosses val="autoZero"/>
        <c:auto val="1"/>
        <c:lblAlgn val="ctr"/>
        <c:lblOffset val="100"/>
      </c:catAx>
      <c:valAx>
        <c:axId val="120714368"/>
        <c:scaling>
          <c:orientation val="minMax"/>
          <c:max val="60000000"/>
        </c:scaling>
        <c:axPos val="l"/>
        <c:majorGridlines/>
        <c:numFmt formatCode="_-* #,##0.00\ _z_ł_-;\-* #,##0.00\ _z_ł_-;_-* &quot;-&quot;??\ _z_ł_-;_-@_-" sourceLinked="1"/>
        <c:maj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20708480"/>
        <c:crosses val="autoZero"/>
        <c:crossBetween val="between"/>
        <c:dispUnits>
          <c:builtInUnit val="millions"/>
          <c:dispUnitsLbl>
            <c:layout>
              <c:manualLayout>
                <c:xMode val="edge"/>
                <c:yMode val="edge"/>
                <c:x val="6.8456924812109715E-2"/>
                <c:y val="7.5224481831857523E-2"/>
              </c:manualLayout>
            </c:layout>
            <c:tx>
              <c:rich>
                <a:bodyPr rot="0" vert="horz"/>
                <a:lstStyle/>
                <a:p>
                  <a:pPr algn="ctr">
                    <a:defRPr sz="10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r>
                    <a:rPr lang="pl-PL"/>
                    <a:t>mln EUR</a:t>
                  </a:r>
                </a:p>
              </c:rich>
            </c:tx>
          </c:dispUnitsLbl>
        </c:dispUnits>
      </c:valAx>
      <c:valAx>
        <c:axId val="120716288"/>
        <c:scaling>
          <c:orientation val="minMax"/>
        </c:scaling>
        <c:axPos val="r"/>
        <c:numFmt formatCode="General" sourceLinked="1"/>
        <c:tickLblPos val="nextTo"/>
        <c:crossAx val="120746752"/>
        <c:crosses val="max"/>
        <c:crossBetween val="between"/>
      </c:valAx>
      <c:catAx>
        <c:axId val="120746752"/>
        <c:scaling>
          <c:orientation val="minMax"/>
        </c:scaling>
        <c:delete val="1"/>
        <c:axPos val="b"/>
        <c:tickLblPos val="none"/>
        <c:crossAx val="120716288"/>
        <c:crosses val="autoZero"/>
        <c:auto val="1"/>
        <c:lblAlgn val="ctr"/>
        <c:lblOffset val="100"/>
      </c:catAx>
    </c:plotArea>
    <c:legend>
      <c:legendPos val="b"/>
      <c:layout>
        <c:manualLayout>
          <c:xMode val="edge"/>
          <c:yMode val="edge"/>
          <c:x val="5.8032023105545887E-2"/>
          <c:y val="0.89730596625062153"/>
          <c:w val="0.9"/>
          <c:h val="5.473240305393532E-2"/>
        </c:manualLayout>
      </c:layout>
      <c:txPr>
        <a:bodyPr/>
        <a:lstStyle/>
        <a:p>
          <a:pPr>
            <a:defRPr sz="920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pl-PL"/>
        </a:p>
      </c:txPr>
    </c:legend>
    <c:plotVisOnly val="1"/>
    <c:dispBlanksAs val="gap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pl-PL"/>
  <c:chart>
    <c:title>
      <c:tx>
        <c:rich>
          <a:bodyPr/>
          <a:lstStyle/>
          <a:p>
            <a:pPr>
              <a:defRPr sz="1100" b="1" i="1" u="none" strike="noStrike" baseline="0">
                <a:solidFill>
                  <a:srgbClr val="000000"/>
                </a:solidFill>
                <a:latin typeface="Times New Roman" pitchFamily="18" charset="0"/>
                <a:ea typeface="Calibri"/>
                <a:cs typeface="Times New Roman" pitchFamily="18" charset="0"/>
              </a:defRPr>
            </a:pPr>
            <a:r>
              <a:rPr lang="pl-PL" i="1">
                <a:latin typeface="Times New Roman" pitchFamily="18" charset="0"/>
                <a:cs typeface="Times New Roman" pitchFamily="18" charset="0"/>
              </a:rPr>
              <a:t>Wartości średnie dla umów  i wniosków o płatność                                     wg wielkości przedsiębiorstw </a:t>
            </a:r>
          </a:p>
        </c:rich>
      </c:tx>
    </c:title>
    <c:view3D>
      <c:depthPercent val="100"/>
      <c:rAngAx val="1"/>
    </c:view3D>
    <c:plotArea>
      <c:layout>
        <c:manualLayout>
          <c:layoutTarget val="inner"/>
          <c:xMode val="edge"/>
          <c:yMode val="edge"/>
          <c:x val="0.18254113887938045"/>
          <c:y val="0.16734864753476128"/>
          <c:w val="0.76180668720758016"/>
          <c:h val="0.63327346478384461"/>
        </c:manualLayout>
      </c:layout>
      <c:bar3DChart>
        <c:barDir val="col"/>
        <c:grouping val="clustered"/>
        <c:ser>
          <c:idx val="0"/>
          <c:order val="0"/>
          <c:tx>
            <c:strRef>
              <c:f>'Obliczenia EUR'!$B$10</c:f>
              <c:strCache>
                <c:ptCount val="1"/>
                <c:pt idx="0">
                  <c:v>MIKRO</c:v>
                </c:pt>
              </c:strCache>
            </c:strRef>
          </c:tx>
          <c:spPr>
            <a:solidFill>
              <a:srgbClr val="04AC80"/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4.6376811594202897E-3"/>
                  <c:y val="-2.4793388429752216E-2"/>
                </c:manualLayout>
              </c:layout>
              <c:showVal val="1"/>
            </c:dLbl>
            <c:dLbl>
              <c:idx val="1"/>
              <c:layout>
                <c:manualLayout>
                  <c:x val="2.3188405797100599E-3"/>
                  <c:y val="-1.6528925619834808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'Obliczenia EUR'!$A$11:$A$12</c:f>
              <c:strCache>
                <c:ptCount val="2"/>
                <c:pt idx="0">
                  <c:v>Średnia wartość podpisanych umów</c:v>
                </c:pt>
                <c:pt idx="1">
                  <c:v>Średnia wartość wypłaconych wniosków o płatność</c:v>
                </c:pt>
              </c:strCache>
            </c:strRef>
          </c:cat>
          <c:val>
            <c:numRef>
              <c:f>'Obliczenia EUR'!$B$11:$B$12</c:f>
              <c:numCache>
                <c:formatCode>_-* #,##0.00\ _z_ł_-;\-* #,##0.00\ _z_ł_-;_-* "-"??\ _z_ł_-;_-@_-</c:formatCode>
                <c:ptCount val="2"/>
                <c:pt idx="0">
                  <c:v>85596.386248897805</c:v>
                </c:pt>
                <c:pt idx="1">
                  <c:v>76493.125803030445</c:v>
                </c:pt>
              </c:numCache>
            </c:numRef>
          </c:val>
        </c:ser>
        <c:ser>
          <c:idx val="1"/>
          <c:order val="1"/>
          <c:tx>
            <c:strRef>
              <c:f>'Obliczenia EUR'!$C$10</c:f>
              <c:strCache>
                <c:ptCount val="1"/>
                <c:pt idx="0">
                  <c:v>MAŁE</c:v>
                </c:pt>
              </c:strCache>
            </c:strRef>
          </c:tx>
          <c:spPr>
            <a:solidFill>
              <a:srgbClr val="0640C2"/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1.391304347826087E-2"/>
                  <c:y val="-1.6528925619834857E-2"/>
                </c:manualLayout>
              </c:layout>
              <c:showVal val="1"/>
            </c:dLbl>
            <c:dLbl>
              <c:idx val="1"/>
              <c:layout>
                <c:manualLayout>
                  <c:x val="9.2753623188405795E-3"/>
                  <c:y val="-3.3057851239669374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'Obliczenia EUR'!$A$11:$A$12</c:f>
              <c:strCache>
                <c:ptCount val="2"/>
                <c:pt idx="0">
                  <c:v>Średnia wartość podpisanych umów</c:v>
                </c:pt>
                <c:pt idx="1">
                  <c:v>Średnia wartość wypłaconych wniosków o płatność</c:v>
                </c:pt>
              </c:strCache>
            </c:strRef>
          </c:cat>
          <c:val>
            <c:numRef>
              <c:f>'Obliczenia EUR'!$C$11:$C$12</c:f>
              <c:numCache>
                <c:formatCode>_-* #,##0.00\ _z_ł_-;\-* #,##0.00\ _z_ł_-;_-* "-"??\ _z_ł_-;_-@_-</c:formatCode>
                <c:ptCount val="2"/>
                <c:pt idx="0">
                  <c:v>214806.50995899239</c:v>
                </c:pt>
                <c:pt idx="1">
                  <c:v>178308.21556865511</c:v>
                </c:pt>
              </c:numCache>
            </c:numRef>
          </c:val>
        </c:ser>
        <c:ser>
          <c:idx val="2"/>
          <c:order val="2"/>
          <c:tx>
            <c:strRef>
              <c:f>'Obliczenia EUR'!$D$10</c:f>
              <c:strCache>
                <c:ptCount val="1"/>
                <c:pt idx="0">
                  <c:v>ŚREDNIE</c:v>
                </c:pt>
              </c:strCache>
            </c:strRef>
          </c:tx>
          <c:spPr>
            <a:solidFill>
              <a:schemeClr val="bg1">
                <a:lumMod val="75000"/>
              </a:schemeClr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1.6231884057971022E-2"/>
                  <c:y val="-2.4793388429752216E-2"/>
                </c:manualLayout>
              </c:layout>
              <c:showVal val="1"/>
            </c:dLbl>
            <c:dLbl>
              <c:idx val="1"/>
              <c:layout>
                <c:manualLayout>
                  <c:x val="1.6231884057971022E-2"/>
                  <c:y val="-2.7548209366391185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'Obliczenia EUR'!$A$11:$A$12</c:f>
              <c:strCache>
                <c:ptCount val="2"/>
                <c:pt idx="0">
                  <c:v>Średnia wartość podpisanych umów</c:v>
                </c:pt>
                <c:pt idx="1">
                  <c:v>Średnia wartość wypłaconych wniosków o płatność</c:v>
                </c:pt>
              </c:strCache>
            </c:strRef>
          </c:cat>
          <c:val>
            <c:numRef>
              <c:f>'Obliczenia EUR'!$D$11:$D$12</c:f>
              <c:numCache>
                <c:formatCode>_-* #,##0.00\ _z_ł_-;\-* #,##0.00\ _z_ł_-;_-* "-"??\ _z_ł_-;_-@_-</c:formatCode>
                <c:ptCount val="2"/>
                <c:pt idx="0">
                  <c:v>220275.56526483234</c:v>
                </c:pt>
                <c:pt idx="1">
                  <c:v>171656.77892385842</c:v>
                </c:pt>
              </c:numCache>
            </c:numRef>
          </c:val>
        </c:ser>
        <c:gapWidth val="211"/>
        <c:gapDepth val="393"/>
        <c:shape val="box"/>
        <c:axId val="120769920"/>
        <c:axId val="140117120"/>
        <c:axId val="0"/>
      </c:bar3DChart>
      <c:catAx>
        <c:axId val="120769920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40117120"/>
        <c:crosses val="autoZero"/>
        <c:auto val="1"/>
        <c:lblAlgn val="ctr"/>
        <c:lblOffset val="100"/>
      </c:catAx>
      <c:valAx>
        <c:axId val="140117120"/>
        <c:scaling>
          <c:orientation val="minMax"/>
        </c:scaling>
        <c:axPos val="l"/>
        <c:majorGridlines/>
        <c:numFmt formatCode="_-* #,##0.00\ _z_ł_-;\-* #,##0.00\ _z_ł_-;_-* &quot;-&quot;??\ _z_ł_-;_-@_-" sourceLinked="1"/>
        <c:maj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20769920"/>
        <c:crosses val="autoZero"/>
        <c:crossBetween val="between"/>
      </c:valAx>
    </c:plotArea>
    <c:legend>
      <c:legendPos val="b"/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pl-PL"/>
        </a:p>
      </c:txPr>
    </c:legend>
    <c:plotVisOnly val="1"/>
    <c:dispBlanksAs val="gap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100" b="1" i="1" u="none" strike="noStrike" baseline="0">
                <a:solidFill>
                  <a:srgbClr val="000000"/>
                </a:solidFill>
                <a:latin typeface="Times New Roman" pitchFamily="18" charset="0"/>
                <a:ea typeface="Calibri"/>
                <a:cs typeface="Times New Roman" pitchFamily="18" charset="0"/>
              </a:defRPr>
            </a:pPr>
            <a:r>
              <a:rPr lang="pl-PL" i="1">
                <a:latin typeface="Times New Roman" pitchFamily="18" charset="0"/>
                <a:cs typeface="Times New Roman" pitchFamily="18" charset="0"/>
              </a:rPr>
              <a:t>Średnie</a:t>
            </a:r>
            <a:r>
              <a:rPr lang="pl-PL" i="1" baseline="0">
                <a:latin typeface="Times New Roman" pitchFamily="18" charset="0"/>
                <a:cs typeface="Times New Roman" pitchFamily="18" charset="0"/>
              </a:rPr>
              <a:t> wartości dofinansowania </a:t>
            </a:r>
            <a:r>
              <a:rPr lang="pl-PL" i="1">
                <a:latin typeface="Times New Roman" pitchFamily="18" charset="0"/>
                <a:cs typeface="Times New Roman" pitchFamily="18" charset="0"/>
              </a:rPr>
              <a:t>dla umów  i wniosków o płatność </a:t>
            </a:r>
          </a:p>
          <a:p>
            <a:pPr>
              <a:defRPr sz="1100" b="1" i="1" u="none" strike="noStrike" baseline="0">
                <a:solidFill>
                  <a:srgbClr val="000000"/>
                </a:solidFill>
                <a:latin typeface="Times New Roman" pitchFamily="18" charset="0"/>
                <a:ea typeface="Calibri"/>
                <a:cs typeface="Times New Roman" pitchFamily="18" charset="0"/>
              </a:defRPr>
            </a:pPr>
            <a:r>
              <a:rPr lang="pl-PL" i="1">
                <a:latin typeface="Times New Roman" pitchFamily="18" charset="0"/>
                <a:cs typeface="Times New Roman" pitchFamily="18" charset="0"/>
              </a:rPr>
              <a:t>wg wielkości przedsiębiorstwa</a:t>
            </a:r>
          </a:p>
        </c:rich>
      </c:tx>
      <c:layout>
        <c:manualLayout>
          <c:xMode val="edge"/>
          <c:yMode val="edge"/>
          <c:x val="0.14971091771423375"/>
          <c:y val="2.4897803564028292E-2"/>
        </c:manualLayout>
      </c:layout>
    </c:title>
    <c:view3D>
      <c:depthPercent val="100"/>
      <c:rAngAx val="1"/>
    </c:view3D>
    <c:plotArea>
      <c:layout>
        <c:manualLayout>
          <c:layoutTarget val="inner"/>
          <c:xMode val="edge"/>
          <c:yMode val="edge"/>
          <c:x val="0.14310921304328483"/>
          <c:y val="0.18894285621929938"/>
          <c:w val="0.85689083647153841"/>
          <c:h val="0.63068962586153865"/>
        </c:manualLayout>
      </c:layout>
      <c:bar3DChart>
        <c:barDir val="col"/>
        <c:grouping val="clustered"/>
        <c:ser>
          <c:idx val="0"/>
          <c:order val="0"/>
          <c:tx>
            <c:strRef>
              <c:f>'Obliczenia EUR'!$I$10</c:f>
              <c:strCache>
                <c:ptCount val="1"/>
                <c:pt idx="0">
                  <c:v>MIKRO</c:v>
                </c:pt>
              </c:strCache>
            </c:strRef>
          </c:tx>
          <c:spPr>
            <a:solidFill>
              <a:srgbClr val="04AC80"/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4.6376811594202897E-3"/>
                  <c:y val="-2.4793388429752216E-2"/>
                </c:manualLayout>
              </c:layout>
              <c:showVal val="1"/>
            </c:dLbl>
            <c:dLbl>
              <c:idx val="1"/>
              <c:layout>
                <c:manualLayout>
                  <c:x val="2.3188405797100599E-3"/>
                  <c:y val="-1.6528925619834808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'Obliczenia EUR'!$H$11:$H$12</c:f>
              <c:strCache>
                <c:ptCount val="2"/>
                <c:pt idx="0">
                  <c:v>Średnia wartość dofinansowania podpisanych umów</c:v>
                </c:pt>
                <c:pt idx="1">
                  <c:v>Średnia wartość dofinansowania wypłaconych wniosków o płatność</c:v>
                </c:pt>
              </c:strCache>
            </c:strRef>
          </c:cat>
          <c:val>
            <c:numRef>
              <c:f>'Obliczenia EUR'!$I$11:$I$12</c:f>
              <c:numCache>
                <c:formatCode>_-* #,##0.00\ _z_ł_-;\-* #,##0.00\ _z_ł_-;_-* "-"??\ _z_ł_-;_-@_-</c:formatCode>
                <c:ptCount val="2"/>
                <c:pt idx="0">
                  <c:v>36223.424078640332</c:v>
                </c:pt>
                <c:pt idx="1">
                  <c:v>33171.293705609154</c:v>
                </c:pt>
              </c:numCache>
            </c:numRef>
          </c:val>
        </c:ser>
        <c:ser>
          <c:idx val="1"/>
          <c:order val="1"/>
          <c:tx>
            <c:strRef>
              <c:f>'Obliczenia EUR'!$J$10</c:f>
              <c:strCache>
                <c:ptCount val="1"/>
                <c:pt idx="0">
                  <c:v>MAŁE</c:v>
                </c:pt>
              </c:strCache>
            </c:strRef>
          </c:tx>
          <c:spPr>
            <a:solidFill>
              <a:srgbClr val="0640C2"/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1.391304347826087E-2"/>
                  <c:y val="-1.6528925619834857E-2"/>
                </c:manualLayout>
              </c:layout>
              <c:showVal val="1"/>
            </c:dLbl>
            <c:dLbl>
              <c:idx val="1"/>
              <c:layout>
                <c:manualLayout>
                  <c:x val="9.2753623188405795E-3"/>
                  <c:y val="-3.3057851239669374E-2"/>
                </c:manualLayout>
              </c:layout>
              <c:showVal val="1"/>
            </c:dLbl>
            <c:spPr>
              <a:ln w="3175"/>
            </c:spPr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'Obliczenia EUR'!$H$11:$H$12</c:f>
              <c:strCache>
                <c:ptCount val="2"/>
                <c:pt idx="0">
                  <c:v>Średnia wartość dofinansowania podpisanych umów</c:v>
                </c:pt>
                <c:pt idx="1">
                  <c:v>Średnia wartość dofinansowania wypłaconych wniosków o płatność</c:v>
                </c:pt>
              </c:strCache>
            </c:strRef>
          </c:cat>
          <c:val>
            <c:numRef>
              <c:f>'Obliczenia EUR'!$J$11:$J$12</c:f>
              <c:numCache>
                <c:formatCode>_-* #,##0.00\ _z_ł_-;\-* #,##0.00\ _z_ł_-;_-* "-"??\ _z_ł_-;_-@_-</c:formatCode>
                <c:ptCount val="2"/>
                <c:pt idx="0">
                  <c:v>86095.775204627003</c:v>
                </c:pt>
                <c:pt idx="1">
                  <c:v>73200.209828402672</c:v>
                </c:pt>
              </c:numCache>
            </c:numRef>
          </c:val>
        </c:ser>
        <c:ser>
          <c:idx val="2"/>
          <c:order val="2"/>
          <c:tx>
            <c:strRef>
              <c:f>'Obliczenia EUR'!$K$10</c:f>
              <c:strCache>
                <c:ptCount val="1"/>
                <c:pt idx="0">
                  <c:v>ŚREDNIE</c:v>
                </c:pt>
              </c:strCache>
            </c:strRef>
          </c:tx>
          <c:spPr>
            <a:solidFill>
              <a:schemeClr val="bg1">
                <a:lumMod val="75000"/>
              </a:schemeClr>
            </a:solidFill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1.6231884057971022E-2"/>
                  <c:y val="-2.4793388429752216E-2"/>
                </c:manualLayout>
              </c:layout>
              <c:showVal val="1"/>
            </c:dLbl>
            <c:dLbl>
              <c:idx val="1"/>
              <c:layout>
                <c:manualLayout>
                  <c:x val="1.6231884057971022E-2"/>
                  <c:y val="-2.7548209366391185E-2"/>
                </c:manualLayout>
              </c:layout>
              <c:showVal val="1"/>
            </c:dLbl>
            <c:txPr>
              <a:bodyPr rot="-5400000" vert="horz"/>
              <a:lstStyle/>
              <a:p>
                <a:pPr algn="ctr"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'Obliczenia EUR'!$H$11:$H$12</c:f>
              <c:strCache>
                <c:ptCount val="2"/>
                <c:pt idx="0">
                  <c:v>Średnia wartość dofinansowania podpisanych umów</c:v>
                </c:pt>
                <c:pt idx="1">
                  <c:v>Średnia wartość dofinansowania wypłaconych wniosków o płatność</c:v>
                </c:pt>
              </c:strCache>
            </c:strRef>
          </c:cat>
          <c:val>
            <c:numRef>
              <c:f>'Obliczenia EUR'!$K$11:$K$12</c:f>
              <c:numCache>
                <c:formatCode>_-* #,##0.00\ _z_ł_-;\-* #,##0.00\ _z_ł_-;_-* "-"??\ _z_ł_-;_-@_-</c:formatCode>
                <c:ptCount val="2"/>
                <c:pt idx="0">
                  <c:v>75024.336334918058</c:v>
                </c:pt>
                <c:pt idx="1">
                  <c:v>56893.851091612865</c:v>
                </c:pt>
              </c:numCache>
            </c:numRef>
          </c:val>
        </c:ser>
        <c:gapWidth val="246"/>
        <c:gapDepth val="432"/>
        <c:shape val="box"/>
        <c:axId val="146415616"/>
        <c:axId val="146417152"/>
        <c:axId val="0"/>
      </c:bar3DChart>
      <c:catAx>
        <c:axId val="146415616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46417152"/>
        <c:crosses val="autoZero"/>
        <c:auto val="1"/>
        <c:lblAlgn val="ctr"/>
        <c:lblOffset val="100"/>
      </c:catAx>
      <c:valAx>
        <c:axId val="146417152"/>
        <c:scaling>
          <c:orientation val="minMax"/>
        </c:scaling>
        <c:axPos val="l"/>
        <c:majorGridlines/>
        <c:numFmt formatCode="_-* #,##0.00\ _z_ł_-;\-* #,##0.00\ _z_ł_-;_-* &quot;-&quot;??\ _z_ł_-;_-@_-" sourceLinked="1"/>
        <c:maj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46415616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31751659989869929"/>
          <c:y val="0.94583671777869871"/>
          <c:w val="0.36964497858820389"/>
          <c:h val="5.4163282221301595E-2"/>
        </c:manualLayout>
      </c:layout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pl-PL"/>
        </a:p>
      </c:txPr>
    </c:legend>
    <c:plotVisOnly val="1"/>
    <c:dispBlanksAs val="gap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 anchor="b" anchorCtr="1"/>
          <a:lstStyle/>
          <a:p>
            <a:pPr algn="ctr">
              <a:defRPr sz="1200" i="1">
                <a:latin typeface="Times New Roman" pitchFamily="18" charset="0"/>
                <a:cs typeface="Times New Roman" pitchFamily="18" charset="0"/>
              </a:defRPr>
            </a:pPr>
            <a:r>
              <a:rPr lang="en-US" sz="1200" i="1">
                <a:latin typeface="Times New Roman" pitchFamily="18" charset="0"/>
                <a:cs typeface="Times New Roman" pitchFamily="18" charset="0"/>
              </a:rPr>
              <a:t>% alokacji przeznaczonej na działania powierzoneIP</a:t>
            </a:r>
            <a:r>
              <a:rPr lang="pl-PL" sz="1200" i="1">
                <a:latin typeface="Times New Roman" pitchFamily="18" charset="0"/>
                <a:cs typeface="Times New Roman" pitchFamily="18" charset="0"/>
              </a:rPr>
              <a:t>2</a:t>
            </a:r>
            <a:r>
              <a:rPr lang="en-US" sz="1200" i="1">
                <a:latin typeface="Times New Roman" pitchFamily="18" charset="0"/>
                <a:cs typeface="Times New Roman" pitchFamily="18" charset="0"/>
              </a:rPr>
              <a:t> RPO WSL</a:t>
            </a:r>
          </a:p>
        </c:rich>
      </c:tx>
    </c:title>
    <c:view3D>
      <c:depthPercent val="100"/>
      <c:rAngAx val="1"/>
    </c:view3D>
    <c:plotArea>
      <c:layout>
        <c:manualLayout>
          <c:layoutTarget val="inner"/>
          <c:xMode val="edge"/>
          <c:yMode val="edge"/>
          <c:x val="0.31658143247557985"/>
          <c:y val="0.10432098765432098"/>
          <c:w val="0.52133452390615675"/>
          <c:h val="0.82695489452707815"/>
        </c:manualLayout>
      </c:layout>
      <c:bar3DChart>
        <c:barDir val="bar"/>
        <c:grouping val="stacked"/>
        <c:ser>
          <c:idx val="0"/>
          <c:order val="0"/>
          <c:tx>
            <c:strRef>
              <c:f>Obliczenia!$Q$31:$Q$36</c:f>
              <c:strCache>
                <c:ptCount val="1"/>
                <c:pt idx="0">
                  <c:v>Alokacja Złożone wnioski o dof. (wartość dofinansowania) Wnioski wybrane do dof. (wartość dofinansowania) Podpisane umowy       
 (wartość dofinansowania) Zatwierdzone wnioski o płatność                               (wartość dofinansowania) Zakończone pr</c:v>
                </c:pt>
              </c:strCache>
            </c:strRef>
          </c:tx>
          <c:spPr>
            <a:ln>
              <a:solidFill>
                <a:schemeClr val="tx1"/>
              </a:solidFill>
            </a:ln>
          </c:spPr>
          <c:dLbls>
            <c:dLbl>
              <c:idx val="0"/>
              <c:layout>
                <c:manualLayout>
                  <c:x val="0.1444594167997045"/>
                  <c:y val="1.234981044036162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100%</a:t>
                    </a:r>
                    <a:endParaRPr lang="pl-PL"/>
                  </a:p>
                  <a:p>
                    <a:r>
                      <a:rPr lang="pl-PL"/>
                      <a:t>237 mln EUR</a:t>
                    </a:r>
                    <a:endParaRPr lang="en-US"/>
                  </a:p>
                </c:rich>
              </c:tx>
              <c:showVal val="1"/>
            </c:dLbl>
            <c:dLbl>
              <c:idx val="1"/>
              <c:layout>
                <c:manualLayout>
                  <c:x val="0.23548231728765864"/>
                  <c:y val="7.4825021872266121E-3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264</a:t>
                    </a:r>
                    <a:r>
                      <a:rPr lang="en-US"/>
                      <a:t>%</a:t>
                    </a:r>
                    <a:endParaRPr lang="pl-PL"/>
                  </a:p>
                  <a:p>
                    <a:r>
                      <a:rPr lang="pl-PL"/>
                      <a:t>628 mln EUR</a:t>
                    </a:r>
                    <a:endParaRPr lang="en-US"/>
                  </a:p>
                </c:rich>
              </c:tx>
              <c:showVal val="1"/>
            </c:dLbl>
            <c:dLbl>
              <c:idx val="2"/>
              <c:layout>
                <c:manualLayout>
                  <c:x val="0.14884812078902551"/>
                  <c:y val="1.6649654904247544E-3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90</a:t>
                    </a:r>
                    <a:r>
                      <a:rPr lang="en-US"/>
                      <a:t>%</a:t>
                    </a:r>
                    <a:endParaRPr lang="pl-PL"/>
                  </a:p>
                  <a:p>
                    <a:r>
                      <a:rPr lang="pl-PL"/>
                      <a:t>213 mln EUR</a:t>
                    </a:r>
                    <a:endParaRPr lang="en-US"/>
                  </a:p>
                </c:rich>
              </c:tx>
              <c:showVal val="1"/>
            </c:dLbl>
            <c:dLbl>
              <c:idx val="3"/>
              <c:layout>
                <c:manualLayout>
                  <c:x val="0.12714957022124812"/>
                  <c:y val="1.401307475454457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1"/>
                      <a:t>  69</a:t>
                    </a:r>
                    <a:r>
                      <a:rPr lang="en-US" sz="1100" b="1"/>
                      <a:t>%</a:t>
                    </a:r>
                    <a:endParaRPr lang="pl-PL" sz="1100" b="1"/>
                  </a:p>
                  <a:p>
                    <a:r>
                      <a:rPr lang="pl-PL" sz="1100" b="1"/>
                      <a:t>163 mln EUR</a:t>
                    </a:r>
                    <a:endParaRPr lang="en-US"/>
                  </a:p>
                </c:rich>
              </c:tx>
            </c:dLbl>
            <c:dLbl>
              <c:idx val="4"/>
              <c:layout>
                <c:manualLayout>
                  <c:x val="0.11454753722794958"/>
                  <c:y val="2.160566734713718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</a:t>
                    </a:r>
                    <a:r>
                      <a:rPr lang="pl-PL"/>
                      <a:t>50%</a:t>
                    </a:r>
                  </a:p>
                  <a:p>
                    <a:r>
                      <a:rPr lang="pl-PL"/>
                      <a:t>118 mlnEUR</a:t>
                    </a:r>
                    <a:endParaRPr lang="en-US"/>
                  </a:p>
                </c:rich>
              </c:tx>
              <c:showVal val="1"/>
            </c:dLbl>
            <c:dLbl>
              <c:idx val="5"/>
              <c:layout>
                <c:manualLayout>
                  <c:x val="0.10767468499427277"/>
                  <c:y val="9.2599883347914847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4</a:t>
                    </a:r>
                    <a:r>
                      <a:rPr lang="pl-PL"/>
                      <a:t>3%</a:t>
                    </a:r>
                  </a:p>
                  <a:p>
                    <a:r>
                      <a:rPr lang="pl-PL"/>
                      <a:t>102</a:t>
                    </a:r>
                    <a:r>
                      <a:rPr lang="pl-PL" baseline="0"/>
                      <a:t> mln EUR</a:t>
                    </a:r>
                    <a:r>
                      <a:rPr lang="en-US"/>
                      <a:t>    </a:t>
                    </a:r>
                  </a:p>
                </c:rich>
              </c:tx>
              <c:showVal val="1"/>
            </c:dLbl>
            <c:txPr>
              <a:bodyPr/>
              <a:lstStyle/>
              <a:p>
                <a:pPr>
                  <a:defRPr sz="1100" b="1"/>
                </a:pPr>
                <a:endParaRPr lang="pl-PL"/>
              </a:p>
            </c:txPr>
            <c:showVal val="1"/>
          </c:dLbls>
          <c:cat>
            <c:strRef>
              <c:f>Obliczenia!$Q$31:$Q$36</c:f>
              <c:strCache>
                <c:ptCount val="6"/>
                <c:pt idx="0">
                  <c:v>Alokacja</c:v>
                </c:pt>
                <c:pt idx="1">
                  <c:v>Złożone wnioski o dof. (wartość dofinansowania)</c:v>
                </c:pt>
                <c:pt idx="2">
                  <c:v>Wnioski wybrane do dof. (wartość dofinansowania)</c:v>
                </c:pt>
                <c:pt idx="3">
                  <c:v>Podpisane umowy       
 (wartość dofinansowania)</c:v>
                </c:pt>
                <c:pt idx="4">
                  <c:v>Zatwierdzone wnioski o płatność                               (wartość dofinansowania)</c:v>
                </c:pt>
                <c:pt idx="5">
                  <c:v>Zakończone projekty               (wartość dofinansowania)</c:v>
                </c:pt>
              </c:strCache>
            </c:strRef>
          </c:cat>
          <c:val>
            <c:numRef>
              <c:f>Obliczenia!$R$31:$R$36</c:f>
              <c:numCache>
                <c:formatCode>_-* #,##0\ _z_ł_-;\-* #,##0\ _z_ł_-;_-* "-"??\ _z_ł_-;_-@_-</c:formatCode>
                <c:ptCount val="6"/>
                <c:pt idx="0" formatCode="_-* #,##0.00\ _z_ł_-;\-* #,##0.00\ _z_ł_-;_-* &quot;-&quot;??\ _z_ł_-;_-@_-">
                  <c:v>237597615</c:v>
                </c:pt>
                <c:pt idx="1">
                  <c:v>628163226.36692059</c:v>
                </c:pt>
                <c:pt idx="2">
                  <c:v>213041496.39718798</c:v>
                </c:pt>
                <c:pt idx="3" formatCode="_-* #,##0.00\ _z_ł_-;\-* #,##0.00\ _z_ł_-;_-* &quot;-&quot;??\ _z_ł_-;_-@_-">
                  <c:v>163183756.27562982</c:v>
                </c:pt>
                <c:pt idx="4" formatCode="_-* #,##0.00\ _z_ł_-;\-* #,##0.00\ _z_ł_-;_-* &quot;-&quot;??\ _z_ł_-;_-@_-">
                  <c:v>118111462.6196056</c:v>
                </c:pt>
                <c:pt idx="5" formatCode="_-* #,##0.00\ _z_ł_-;\-* #,##0.00\ _z_ł_-;_-* &quot;-&quot;??\ _z_ł_-;_-@_-">
                  <c:v>102984416.55243121</c:v>
                </c:pt>
              </c:numCache>
            </c:numRef>
          </c:val>
        </c:ser>
        <c:shape val="box"/>
        <c:axId val="136899968"/>
        <c:axId val="137114752"/>
        <c:axId val="0"/>
      </c:bar3DChart>
      <c:catAx>
        <c:axId val="136899968"/>
        <c:scaling>
          <c:orientation val="maxMin"/>
        </c:scaling>
        <c:axPos val="l"/>
        <c:numFmt formatCode="General" sourceLinked="0"/>
        <c:tickLblPos val="nextTo"/>
        <c:crossAx val="137114752"/>
        <c:crosses val="autoZero"/>
        <c:auto val="1"/>
        <c:lblAlgn val="ctr"/>
        <c:lblOffset val="100"/>
      </c:catAx>
      <c:valAx>
        <c:axId val="137114752"/>
        <c:scaling>
          <c:orientation val="minMax"/>
        </c:scaling>
        <c:delete val="1"/>
        <c:axPos val="b"/>
        <c:numFmt formatCode="_-* #,##0.00\ _z_ł_-;\-* #,##0.00\ _z_ł_-;_-* &quot;-&quot;??\ _z_ł_-;_-@_-" sourceLinked="1"/>
        <c:tickLblPos val="none"/>
        <c:crossAx val="136899968"/>
        <c:crosses val="max"/>
        <c:crossBetween val="between"/>
      </c:valAx>
      <c:spPr>
        <a:noFill/>
        <a:ln w="25400">
          <a:noFill/>
        </a:ln>
      </c:spPr>
    </c:plotArea>
    <c:plotVisOnly val="1"/>
    <c:dispBlanksAs val="gap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pl-PL"/>
  <c:chart>
    <c:title>
      <c:tx>
        <c:rich>
          <a:bodyPr/>
          <a:lstStyle/>
          <a:p>
            <a:pPr>
              <a:defRPr sz="1200" i="1">
                <a:latin typeface="Times New Roman" pitchFamily="18" charset="0"/>
                <a:cs typeface="Times New Roman" pitchFamily="18" charset="0"/>
              </a:defRPr>
            </a:pPr>
            <a:r>
              <a:rPr lang="en-US" sz="1200" i="1">
                <a:latin typeface="Times New Roman" pitchFamily="18" charset="0"/>
                <a:cs typeface="Times New Roman" pitchFamily="18" charset="0"/>
              </a:rPr>
              <a:t>Liczba</a:t>
            </a:r>
            <a:r>
              <a:rPr lang="pl-PL" sz="1200" i="1">
                <a:latin typeface="Times New Roman" pitchFamily="18" charset="0"/>
                <a:cs typeface="Times New Roman" pitchFamily="18" charset="0"/>
              </a:rPr>
              <a:t> oraz wartość dofinansowania w umowach podpisanych, roziązanych oraz przy odstapieniach od podpisania umowy</a:t>
            </a:r>
            <a:r>
              <a:rPr lang="en-US" sz="1200" i="1">
                <a:latin typeface="Times New Roman" pitchFamily="18" charset="0"/>
                <a:cs typeface="Times New Roman" pitchFamily="18" charset="0"/>
              </a:rPr>
              <a:t> </a:t>
            </a:r>
          </a:p>
        </c:rich>
      </c:tx>
    </c:title>
    <c:plotArea>
      <c:layout>
        <c:manualLayout>
          <c:layoutTarget val="inner"/>
          <c:xMode val="edge"/>
          <c:yMode val="edge"/>
          <c:x val="0.21410582713305415"/>
          <c:y val="0.22109650880686871"/>
          <c:w val="0.67891579817583592"/>
          <c:h val="0.56198291390046828"/>
        </c:manualLayout>
      </c:layout>
      <c:barChart>
        <c:barDir val="col"/>
        <c:grouping val="clustered"/>
        <c:ser>
          <c:idx val="0"/>
          <c:order val="0"/>
          <c:tx>
            <c:strRef>
              <c:f>Obliczenia!$Y$1</c:f>
              <c:strCache>
                <c:ptCount val="1"/>
                <c:pt idx="0">
                  <c:v>wartość dofinansowania</c:v>
                </c:pt>
              </c:strCache>
            </c:strRef>
          </c:tx>
          <c:spPr>
            <a:solidFill>
              <a:prstClr val="white">
                <a:lumMod val="65000"/>
              </a:prstClr>
            </a:solidFill>
            <a:scene3d>
              <a:camera prst="orthographicFront"/>
              <a:lightRig rig="threePt" dir="t"/>
            </a:scene3d>
            <a:sp3d>
              <a:bevelT w="190500" h="38100"/>
            </a:sp3d>
          </c:spPr>
          <c:dLbls>
            <c:dLbl>
              <c:idx val="1"/>
              <c:layout>
                <c:manualLayout>
                  <c:x val="-4.5897877223178632E-3"/>
                  <c:y val="5.5352817974402134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1000" b="1"/>
                </a:pPr>
                <a:endParaRPr lang="pl-PL"/>
              </a:p>
            </c:txPr>
            <c:dLblPos val="ctr"/>
            <c:showVal val="1"/>
          </c:dLbls>
          <c:cat>
            <c:strRef>
              <c:f>Obliczenia!$X$2:$X$4</c:f>
              <c:strCache>
                <c:ptCount val="3"/>
                <c:pt idx="0">
                  <c:v>Podpisane umowy </c:v>
                </c:pt>
                <c:pt idx="1">
                  <c:v>Rozwiązane umowy</c:v>
                </c:pt>
                <c:pt idx="2">
                  <c:v>Odstąpienia od podpisania umowy</c:v>
                </c:pt>
              </c:strCache>
            </c:strRef>
          </c:cat>
          <c:val>
            <c:numRef>
              <c:f>Obliczenia!$Y$2:$Y$4</c:f>
              <c:numCache>
                <c:formatCode>_-* #,##0\ _z_ł_-;\-* #,##0\ _z_ł_-;_-* "-"??\ _z_ł_-;_-@_-</c:formatCode>
                <c:ptCount val="3"/>
                <c:pt idx="0">
                  <c:v>163183756.27562958</c:v>
                </c:pt>
                <c:pt idx="1">
                  <c:v>15227034.585530169</c:v>
                </c:pt>
                <c:pt idx="2">
                  <c:v>21261136.401581716</c:v>
                </c:pt>
              </c:numCache>
            </c:numRef>
          </c:val>
        </c:ser>
        <c:gapWidth val="72"/>
        <c:overlap val="-14"/>
        <c:axId val="146512512"/>
        <c:axId val="146825600"/>
      </c:barChart>
      <c:lineChart>
        <c:grouping val="standard"/>
        <c:ser>
          <c:idx val="1"/>
          <c:order val="1"/>
          <c:tx>
            <c:strRef>
              <c:f>Obliczenia!$S$1</c:f>
              <c:strCache>
                <c:ptCount val="1"/>
                <c:pt idx="0">
                  <c:v>liczba</c:v>
                </c:pt>
              </c:strCache>
            </c:strRef>
          </c:tx>
          <c:spPr>
            <a:ln>
              <a:solidFill>
                <a:srgbClr val="4F81BD">
                  <a:lumMod val="75000"/>
                </a:srgbClr>
              </a:solidFill>
            </a:ln>
          </c:spPr>
          <c:marker>
            <c:symbol val="square"/>
            <c:size val="5"/>
            <c:spPr>
              <a:solidFill>
                <a:schemeClr val="accent1">
                  <a:lumMod val="75000"/>
                </a:schemeClr>
              </a:solidFill>
              <a:ln cap="sq">
                <a:solidFill>
                  <a:schemeClr val="accent1">
                    <a:lumMod val="75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4.6427509814285284E-2"/>
                  <c:y val="-0.12122901601055069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2945550480888746E-2"/>
                  <c:y val="-5.438877478401950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4420024420023652E-3"/>
                  <c:y val="-3.3840947546531455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200" b="1">
                    <a:solidFill>
                      <a:schemeClr val="accent1">
                        <a:lumMod val="75000"/>
                      </a:schemeClr>
                    </a:solidFill>
                  </a:defRPr>
                </a:pPr>
                <a:endParaRPr lang="pl-PL"/>
              </a:p>
            </c:txPr>
            <c:showVal val="1"/>
          </c:dLbls>
          <c:cat>
            <c:strRef>
              <c:f>[1]Subre!$A$141:$A$143</c:f>
              <c:strCache>
                <c:ptCount val="3"/>
                <c:pt idx="0">
                  <c:v>Wnioski o dofinansowanie</c:v>
                </c:pt>
                <c:pt idx="1">
                  <c:v>Podpisane umowy </c:v>
                </c:pt>
                <c:pt idx="2">
                  <c:v>Zakończone projekty</c:v>
                </c:pt>
              </c:strCache>
            </c:strRef>
          </c:cat>
          <c:val>
            <c:numRef>
              <c:f>Obliczenia!$Z$2:$Z$4</c:f>
              <c:numCache>
                <c:formatCode>_-* #,##0\ _z_ł_-;\-* #,##0\ _z_ł_-;_-* "-"??\ _z_ł_-;_-@_-</c:formatCode>
                <c:ptCount val="3"/>
                <c:pt idx="0" formatCode="General">
                  <c:v>2578</c:v>
                </c:pt>
                <c:pt idx="1">
                  <c:v>256</c:v>
                </c:pt>
                <c:pt idx="2">
                  <c:v>455</c:v>
                </c:pt>
              </c:numCache>
            </c:numRef>
          </c:val>
        </c:ser>
        <c:marker val="1"/>
        <c:axId val="146827520"/>
        <c:axId val="146859520"/>
      </c:lineChart>
      <c:catAx>
        <c:axId val="146512512"/>
        <c:scaling>
          <c:orientation val="minMax"/>
        </c:scaling>
        <c:axPos val="b"/>
        <c:numFmt formatCode="_-* #,##0\ _z_ł_-;\-* #,##0\ _z_ł_-;_-* &quot;-&quot;??\ _z_ł_-;_-@_-" sourceLinked="1"/>
        <c:majorTickMark val="none"/>
        <c:tickLblPos val="nextTo"/>
        <c:crossAx val="146825600"/>
        <c:crosses val="autoZero"/>
        <c:auto val="1"/>
        <c:lblAlgn val="ctr"/>
        <c:lblOffset val="100"/>
      </c:catAx>
      <c:valAx>
        <c:axId val="146825600"/>
        <c:scaling>
          <c:orientation val="minMax"/>
          <c:max val="180000000"/>
        </c:scaling>
        <c:axPos val="l"/>
        <c:majorGridlines/>
        <c:numFmt formatCode="_-* #,##0\ _z_ł_-;\-* #,##0\ _z_ł_-;_-* &quot;-&quot;??\ _z_ł_-;_-@_-" sourceLinked="1"/>
        <c:majorTickMark val="none"/>
        <c:tickLblPos val="nextTo"/>
        <c:spPr>
          <a:ln w="9525">
            <a:noFill/>
          </a:ln>
        </c:spPr>
        <c:crossAx val="146512512"/>
        <c:crosses val="autoZero"/>
        <c:crossBetween val="between"/>
      </c:valAx>
      <c:catAx>
        <c:axId val="146827520"/>
        <c:scaling>
          <c:orientation val="minMax"/>
        </c:scaling>
        <c:delete val="1"/>
        <c:axPos val="b"/>
        <c:tickLblPos val="none"/>
        <c:crossAx val="146859520"/>
        <c:crosses val="autoZero"/>
        <c:auto val="1"/>
        <c:lblAlgn val="ctr"/>
        <c:lblOffset val="100"/>
      </c:catAx>
      <c:valAx>
        <c:axId val="146859520"/>
        <c:scaling>
          <c:orientation val="minMax"/>
        </c:scaling>
        <c:axPos val="r"/>
        <c:numFmt formatCode="General" sourceLinked="1"/>
        <c:tickLblPos val="nextTo"/>
        <c:crossAx val="146827520"/>
        <c:crosses val="max"/>
        <c:crossBetween val="between"/>
      </c:valAx>
    </c:plotArea>
    <c:legend>
      <c:legendPos val="b"/>
      <c:txPr>
        <a:bodyPr/>
        <a:lstStyle/>
        <a:p>
          <a:pPr>
            <a:defRPr sz="1200"/>
          </a:pPr>
          <a:endParaRPr lang="pl-PL"/>
        </a:p>
      </c:txPr>
    </c:legend>
    <c:plotVisOnly val="1"/>
    <c:dispBlanksAs val="gap"/>
  </c:chart>
  <c:externalData r:id="rId1"/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200" b="1" i="1" u="none" strike="noStrike" baseline="0">
                <a:solidFill>
                  <a:srgbClr val="000000"/>
                </a:solidFill>
                <a:latin typeface="Times New Roman" pitchFamily="18" charset="0"/>
                <a:ea typeface="Calibri"/>
                <a:cs typeface="Times New Roman" pitchFamily="18" charset="0"/>
              </a:defRPr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Podpisane umowy o dofinansowanie</a:t>
            </a:r>
          </a:p>
        </c:rich>
      </c:tx>
      <c:layout>
        <c:manualLayout>
          <c:xMode val="edge"/>
          <c:yMode val="edge"/>
          <c:x val="0.31930988356185658"/>
          <c:y val="2.3391951006124241E-2"/>
        </c:manualLayout>
      </c:layout>
    </c:title>
    <c:plotArea>
      <c:layout>
        <c:manualLayout>
          <c:layoutTarget val="inner"/>
          <c:xMode val="edge"/>
          <c:yMode val="edge"/>
          <c:x val="0.20661721338886693"/>
          <c:y val="0.1366759988334792"/>
          <c:w val="0.64652094163905183"/>
          <c:h val="0.65082706328375972"/>
        </c:manualLayout>
      </c:layout>
      <c:barChart>
        <c:barDir val="col"/>
        <c:grouping val="clustered"/>
        <c:ser>
          <c:idx val="1"/>
          <c:order val="1"/>
          <c:tx>
            <c:strRef>
              <c:f>Obliczenia!$C$2</c:f>
              <c:strCache>
                <c:ptCount val="1"/>
                <c:pt idx="0">
                  <c:v>Wartość dof. z umów</c:v>
                </c:pt>
              </c:strCache>
            </c:strRef>
          </c:tx>
          <c:spPr>
            <a:solidFill>
              <a:schemeClr val="accent3">
                <a:lumMod val="75000"/>
              </a:schemeClr>
            </a:solidFill>
            <a:ln>
              <a:solidFill>
                <a:schemeClr val="accent3">
                  <a:lumMod val="75000"/>
                </a:schemeClr>
              </a:solidFill>
            </a:ln>
            <a:scene3d>
              <a:camera prst="orthographicFront"/>
              <a:lightRig rig="balanced" dir="t">
                <a:rot lat="0" lon="0" rev="8700000"/>
              </a:lightRig>
            </a:scene3d>
            <a:sp3d>
              <a:bevelT w="190500" h="38100"/>
            </a:sp3d>
          </c:spPr>
          <c:dLbls>
            <c:dLbl>
              <c:idx val="4"/>
              <c:layout>
                <c:manualLayout>
                  <c:x val="-2.5740025740025752E-3"/>
                  <c:y val="5.8577427821522851E-2"/>
                </c:manualLayout>
              </c:layout>
              <c:spPr/>
              <c:txPr>
                <a:bodyPr/>
                <a:lstStyle/>
                <a:p>
                  <a:pPr>
                    <a:defRPr sz="9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pl-PL"/>
                </a:p>
              </c:txPr>
              <c:dLblPos val="outEnd"/>
              <c:showVal val="1"/>
            </c:dLbl>
            <c:txPr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dLblPos val="ctr"/>
            <c:showVal val="1"/>
          </c:dLbls>
          <c:cat>
            <c:strRef>
              <c:f>Obliczenia!$A$3:$A$7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 śląskim</c:v>
                </c:pt>
              </c:strCache>
            </c:strRef>
          </c:cat>
          <c:val>
            <c:numRef>
              <c:f>Obliczenia!$C$3:$C$7</c:f>
              <c:numCache>
                <c:formatCode>_-* #,##0.00\ _z_ł_-;\-* #,##0.00\ _z_ł_-;_-* "-"??\ _z_ł_-;_-@_-</c:formatCode>
                <c:ptCount val="5"/>
                <c:pt idx="0">
                  <c:v>92063557.361843348</c:v>
                </c:pt>
                <c:pt idx="1">
                  <c:v>34155052.641085729</c:v>
                </c:pt>
                <c:pt idx="2">
                  <c:v>16747700.615114233</c:v>
                </c:pt>
                <c:pt idx="3">
                  <c:v>15017012.385276308</c:v>
                </c:pt>
                <c:pt idx="4">
                  <c:v>5200433.2723101014</c:v>
                </c:pt>
              </c:numCache>
            </c:numRef>
          </c:val>
        </c:ser>
        <c:gapWidth val="75"/>
        <c:axId val="150882560"/>
        <c:axId val="103895424"/>
      </c:barChart>
      <c:lineChart>
        <c:grouping val="standard"/>
        <c:ser>
          <c:idx val="0"/>
          <c:order val="0"/>
          <c:tx>
            <c:strRef>
              <c:f>Obliczenia!$B$2</c:f>
              <c:strCache>
                <c:ptCount val="1"/>
                <c:pt idx="0">
                  <c:v>Liczba  podpisanych umów</c:v>
                </c:pt>
              </c:strCache>
            </c:strRef>
          </c:tx>
          <c:marker>
            <c:symbol val="square"/>
            <c:size val="5"/>
            <c:spPr>
              <a:solidFill>
                <a:schemeClr val="tx2">
                  <a:lumMod val="60000"/>
                  <a:lumOff val="40000"/>
                </a:schemeClr>
              </a:solidFill>
            </c:spPr>
          </c:marker>
          <c:dLbls>
            <c:dLbl>
              <c:idx val="0"/>
              <c:layout>
                <c:manualLayout>
                  <c:x val="-4.6332046332046475E-2"/>
                  <c:y val="-5.185185185185186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8018018018018021E-2"/>
                  <c:y val="-8.148148148148143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740025740025742E-2"/>
                  <c:y val="-4.074074074074077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8610038610038519E-2"/>
                  <c:y val="-5.18521434820646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462033462033462E-2"/>
                  <c:y val="-5.5555555555555455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showVal val="1"/>
          </c:dLbls>
          <c:cat>
            <c:strRef>
              <c:f>[4]Subre!$A$3:$A$7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 śląskim</c:v>
                </c:pt>
              </c:strCache>
            </c:strRef>
          </c:cat>
          <c:val>
            <c:numRef>
              <c:f>Obliczenia!$B$3:$B$8</c:f>
              <c:numCache>
                <c:formatCode>General</c:formatCode>
                <c:ptCount val="6"/>
                <c:pt idx="0">
                  <c:v>1475</c:v>
                </c:pt>
                <c:pt idx="1">
                  <c:v>462</c:v>
                </c:pt>
                <c:pt idx="2">
                  <c:v>333</c:v>
                </c:pt>
                <c:pt idx="3">
                  <c:v>264</c:v>
                </c:pt>
                <c:pt idx="4">
                  <c:v>44</c:v>
                </c:pt>
                <c:pt idx="5">
                  <c:v>2578</c:v>
                </c:pt>
              </c:numCache>
            </c:numRef>
          </c:val>
        </c:ser>
        <c:marker val="1"/>
        <c:axId val="103897344"/>
        <c:axId val="103903232"/>
      </c:lineChart>
      <c:catAx>
        <c:axId val="150882560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03895424"/>
        <c:crosses val="autoZero"/>
        <c:auto val="1"/>
        <c:lblAlgn val="ctr"/>
        <c:lblOffset val="100"/>
      </c:catAx>
      <c:valAx>
        <c:axId val="103895424"/>
        <c:scaling>
          <c:orientation val="minMax"/>
          <c:max val="100000000"/>
          <c:min val="0"/>
        </c:scaling>
        <c:axPos val="l"/>
        <c:majorGridlines/>
        <c:numFmt formatCode="_-* #,##0.00\ _z_ł_-;\-* #,##0.00\ _z_ł_-;_-* &quot;-&quot;??\ _z_ł_-;_-@_-" sourceLinked="1"/>
        <c:maj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50882560"/>
        <c:crosses val="autoZero"/>
        <c:crossBetween val="between"/>
        <c:dispUnits>
          <c:builtInUnit val="millions"/>
          <c:dispUnitsLbl>
            <c:layout>
              <c:manualLayout>
                <c:xMode val="edge"/>
                <c:yMode val="edge"/>
                <c:x val="6.7950222438411534E-2"/>
                <c:y val="3.9892971711869507E-2"/>
              </c:manualLayout>
            </c:layout>
            <c:tx>
              <c:rich>
                <a:bodyPr rot="0" vert="horz"/>
                <a:lstStyle/>
                <a:p>
                  <a:pPr algn="ctr">
                    <a:defRPr sz="10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r>
                    <a:rPr lang="pl-PL"/>
                    <a:t>mln EUR</a:t>
                  </a:r>
                </a:p>
              </c:rich>
            </c:tx>
          </c:dispUnitsLbl>
        </c:dispUnits>
      </c:valAx>
      <c:catAx>
        <c:axId val="103897344"/>
        <c:scaling>
          <c:orientation val="minMax"/>
        </c:scaling>
        <c:delete val="1"/>
        <c:axPos val="b"/>
        <c:tickLblPos val="none"/>
        <c:crossAx val="103903232"/>
        <c:crosses val="autoZero"/>
        <c:auto val="1"/>
        <c:lblAlgn val="ctr"/>
        <c:lblOffset val="100"/>
      </c:catAx>
      <c:valAx>
        <c:axId val="103903232"/>
        <c:scaling>
          <c:orientation val="minMax"/>
          <c:max val="1600"/>
          <c:min val="0"/>
        </c:scaling>
        <c:axPos val="r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03897344"/>
        <c:crosses val="max"/>
        <c:crossBetween val="between"/>
      </c:valAx>
    </c:plotArea>
    <c:legend>
      <c:legendPos val="b"/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pl-PL"/>
        </a:p>
      </c:txPr>
    </c:legend>
    <c:plotVisOnly val="1"/>
    <c:dispBlanksAs val="gap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pl-PL"/>
  <c:chart>
    <c:title>
      <c:tx>
        <c:rich>
          <a:bodyPr/>
          <a:lstStyle/>
          <a:p>
            <a:pPr>
              <a:defRPr sz="1400" i="1">
                <a:latin typeface="Times New Roman" pitchFamily="18" charset="0"/>
                <a:cs typeface="Times New Roman" pitchFamily="18" charset="0"/>
              </a:defRPr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Liczba podpisanych umów</a:t>
            </a:r>
          </a:p>
        </c:rich>
      </c:tx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9.5561480447855507E-2"/>
          <c:y val="0.27613123359580055"/>
          <c:w val="0.86889564437357536"/>
          <c:h val="0.7206388760228537"/>
        </c:manualLayout>
      </c:layout>
      <c:pie3DChart>
        <c:varyColors val="1"/>
        <c:ser>
          <c:idx val="0"/>
          <c:order val="0"/>
          <c:explosion val="25"/>
          <c:dPt>
            <c:idx val="0"/>
            <c:explosion val="5"/>
            <c:spPr>
              <a:ln>
                <a:solidFill>
                  <a:sysClr val="windowText" lastClr="000000"/>
                </a:solidFill>
              </a:ln>
            </c:spPr>
          </c:dPt>
          <c:dPt>
            <c:idx val="1"/>
            <c:spPr>
              <a:ln>
                <a:solidFill>
                  <a:sysClr val="windowText" lastClr="000000"/>
                </a:solidFill>
              </a:ln>
            </c:spPr>
          </c:dPt>
          <c:dPt>
            <c:idx val="2"/>
            <c:spPr>
              <a:ln>
                <a:solidFill>
                  <a:sysClr val="windowText" lastClr="000000"/>
                </a:solidFill>
              </a:ln>
            </c:spPr>
          </c:dPt>
          <c:dPt>
            <c:idx val="3"/>
            <c:spPr>
              <a:ln>
                <a:solidFill>
                  <a:sysClr val="windowText" lastClr="000000"/>
                </a:solidFill>
              </a:ln>
            </c:spPr>
          </c:dPt>
          <c:dLbls>
            <c:dLbl>
              <c:idx val="0"/>
              <c:layout>
                <c:manualLayout>
                  <c:x val="4.1484631914461015E-2"/>
                  <c:y val="8.0205527217724684E-2"/>
                </c:manualLayout>
              </c:layout>
              <c:spPr>
                <a:ln>
                  <a:solidFill>
                    <a:schemeClr val="bg1"/>
                  </a:solidFill>
                </a:ln>
              </c:spPr>
              <c:txPr>
                <a:bodyPr/>
                <a:lstStyle/>
                <a:p>
                  <a:pPr>
                    <a:defRPr/>
                  </a:pPr>
                  <a:endParaRPr lang="pl-PL"/>
                </a:p>
              </c:txPr>
              <c:showCatName val="1"/>
              <c:showPercent val="1"/>
            </c:dLbl>
            <c:dLbl>
              <c:idx val="1"/>
              <c:layout>
                <c:manualLayout>
                  <c:x val="-2.1246537159864208E-2"/>
                  <c:y val="2.1499345376049715E-2"/>
                </c:manualLayout>
              </c:layout>
              <c:showCatName val="1"/>
              <c:showPercent val="1"/>
            </c:dLbl>
            <c:dLbl>
              <c:idx val="2"/>
              <c:layout>
                <c:manualLayout>
                  <c:x val="-2.4061687595671052E-3"/>
                  <c:y val="-5.9926753058870824E-2"/>
                </c:manualLayout>
              </c:layout>
              <c:showCatName val="1"/>
              <c:showPercent val="1"/>
            </c:dLbl>
            <c:dLbl>
              <c:idx val="3"/>
              <c:layout>
                <c:manualLayout>
                  <c:x val="-1.2813066944248934E-2"/>
                  <c:y val="-5.3733003371614213E-2"/>
                </c:manualLayout>
              </c:layout>
              <c:showCatName val="1"/>
              <c:showPercent val="1"/>
            </c:dLbl>
            <c:dLbl>
              <c:idx val="4"/>
              <c:layout>
                <c:manualLayout>
                  <c:x val="0.18318195866888837"/>
                  <c:y val="-2.3179135136299232E-2"/>
                </c:manualLayout>
              </c:layout>
              <c:showCatName val="1"/>
              <c:showPercent val="1"/>
            </c:dLbl>
            <c:showCatName val="1"/>
            <c:showPercent val="1"/>
            <c:showLeaderLines val="1"/>
          </c:dLbls>
          <c:cat>
            <c:strRef>
              <c:f>Obliczenia!$A$3:$A$7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 śląskim</c:v>
                </c:pt>
              </c:strCache>
            </c:strRef>
          </c:cat>
          <c:val>
            <c:numRef>
              <c:f>Obliczenia!$B$3:$B$7</c:f>
              <c:numCache>
                <c:formatCode>General</c:formatCode>
                <c:ptCount val="5"/>
                <c:pt idx="0">
                  <c:v>1475</c:v>
                </c:pt>
                <c:pt idx="1">
                  <c:v>462</c:v>
                </c:pt>
                <c:pt idx="2">
                  <c:v>333</c:v>
                </c:pt>
                <c:pt idx="3">
                  <c:v>264</c:v>
                </c:pt>
                <c:pt idx="4">
                  <c:v>44</c:v>
                </c:pt>
              </c:numCache>
            </c:numRef>
          </c:val>
        </c:ser>
        <c:dLbls>
          <c:showCatName val="1"/>
          <c:showPercent val="1"/>
        </c:dLbls>
      </c:pie3DChart>
    </c:plotArea>
    <c:plotVisOnly val="1"/>
    <c:dispBlanksAs val="zero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100" b="1" i="1" u="none" strike="noStrike" baseline="0">
                <a:solidFill>
                  <a:srgbClr val="000000"/>
                </a:solidFill>
                <a:latin typeface="Times New Roman" pitchFamily="18" charset="0"/>
                <a:ea typeface="Calibri"/>
                <a:cs typeface="Times New Roman" pitchFamily="18" charset="0"/>
              </a:defRPr>
            </a:pPr>
            <a:r>
              <a:rPr lang="pl-PL" b="1" i="1">
                <a:latin typeface="Times New Roman" pitchFamily="18" charset="0"/>
                <a:cs typeface="Times New Roman" pitchFamily="18" charset="0"/>
              </a:rPr>
              <a:t>Zakończone projekty</a:t>
            </a:r>
          </a:p>
        </c:rich>
      </c:tx>
      <c:layout>
        <c:manualLayout>
          <c:xMode val="edge"/>
          <c:yMode val="edge"/>
          <c:x val="0.38895109539879213"/>
          <c:y val="2.7777629491228851E-2"/>
        </c:manualLayout>
      </c:layout>
    </c:title>
    <c:plotArea>
      <c:layout/>
      <c:barChart>
        <c:barDir val="col"/>
        <c:grouping val="clustered"/>
        <c:ser>
          <c:idx val="1"/>
          <c:order val="1"/>
          <c:tx>
            <c:strRef>
              <c:f>Obliczenia!$G$2</c:f>
              <c:strCache>
                <c:ptCount val="1"/>
                <c:pt idx="0">
                  <c:v>Wartość dof. z zakończonych projektów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  <a:scene3d>
              <a:camera prst="orthographicFront"/>
              <a:lightRig rig="threePt" dir="t"/>
            </a:scene3d>
            <a:sp3d>
              <a:bevelT w="190500" h="38100"/>
            </a:sp3d>
          </c:spPr>
          <c:dLbls>
            <c:dLbl>
              <c:idx val="4"/>
              <c:layout>
                <c:manualLayout>
                  <c:x val="3.0888030888030892E-2"/>
                  <c:y val="6.7195434840308113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dLblPos val="ctr"/>
            <c:showVal val="1"/>
          </c:dLbls>
          <c:cat>
            <c:strRef>
              <c:f>[4]Subre!$A$3:$A$7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 śląskim</c:v>
                </c:pt>
              </c:strCache>
            </c:strRef>
          </c:cat>
          <c:val>
            <c:numRef>
              <c:f>Obliczenia!$G$3:$G$7</c:f>
              <c:numCache>
                <c:formatCode>_-* #,##0.00\ _z_ł_-;\-* #,##0.00\ _z_ł_-;_-* "-"??\ _z_ł_-;_-@_-</c:formatCode>
                <c:ptCount val="5"/>
                <c:pt idx="0">
                  <c:v>56155944.752489723</c:v>
                </c:pt>
                <c:pt idx="1">
                  <c:v>23609974.594805714</c:v>
                </c:pt>
                <c:pt idx="2">
                  <c:v>11602776.344952174</c:v>
                </c:pt>
                <c:pt idx="3">
                  <c:v>9565606.7516110148</c:v>
                </c:pt>
                <c:pt idx="4">
                  <c:v>2050114.1085725445</c:v>
                </c:pt>
              </c:numCache>
            </c:numRef>
          </c:val>
        </c:ser>
        <c:gapWidth val="75"/>
        <c:axId val="104147200"/>
        <c:axId val="104161280"/>
      </c:barChart>
      <c:lineChart>
        <c:grouping val="standard"/>
        <c:ser>
          <c:idx val="0"/>
          <c:order val="0"/>
          <c:tx>
            <c:strRef>
              <c:f>Obliczenia!$F$2</c:f>
              <c:strCache>
                <c:ptCount val="1"/>
                <c:pt idx="0">
                  <c:v>Liczba </c:v>
                </c:pt>
              </c:strCache>
            </c:strRef>
          </c:tx>
          <c:marker>
            <c:symbol val="square"/>
            <c:size val="5"/>
          </c:marker>
          <c:dLbls>
            <c:dLbl>
              <c:idx val="1"/>
              <c:layout>
                <c:manualLayout>
                  <c:x val="-7.9923793309620798E-3"/>
                  <c:y val="-8.27809726031436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6911196911196913E-2"/>
                  <c:y val="-4.90731074346043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pl-PL"/>
              </a:p>
            </c:txPr>
            <c:dLblPos val="t"/>
            <c:showVal val="1"/>
          </c:dLbls>
          <c:cat>
            <c:strRef>
              <c:f>[4]Subre!$A$3:$A$7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 śląskim</c:v>
                </c:pt>
              </c:strCache>
            </c:strRef>
          </c:cat>
          <c:val>
            <c:numRef>
              <c:f>Obliczenia!$F$3:$F$7</c:f>
              <c:numCache>
                <c:formatCode>General</c:formatCode>
                <c:ptCount val="5"/>
                <c:pt idx="0">
                  <c:v>1092</c:v>
                </c:pt>
                <c:pt idx="1">
                  <c:v>354</c:v>
                </c:pt>
                <c:pt idx="2">
                  <c:v>273</c:v>
                </c:pt>
                <c:pt idx="3">
                  <c:v>208</c:v>
                </c:pt>
                <c:pt idx="4">
                  <c:v>22</c:v>
                </c:pt>
              </c:numCache>
            </c:numRef>
          </c:val>
        </c:ser>
        <c:marker val="1"/>
        <c:axId val="104163200"/>
        <c:axId val="104164736"/>
      </c:lineChart>
      <c:catAx>
        <c:axId val="104147200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04161280"/>
        <c:crosses val="autoZero"/>
        <c:auto val="1"/>
        <c:lblAlgn val="ctr"/>
        <c:lblOffset val="100"/>
      </c:catAx>
      <c:valAx>
        <c:axId val="104161280"/>
        <c:scaling>
          <c:orientation val="minMax"/>
        </c:scaling>
        <c:axPos val="l"/>
        <c:majorGridlines/>
        <c:numFmt formatCode="_-* #,##0.00\ _z_ł_-;\-* #,##0.00\ _z_ł_-;_-* &quot;-&quot;??\ _z_ł_-;_-@_-" sourceLinked="1"/>
        <c:maj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04147200"/>
        <c:crosses val="autoZero"/>
        <c:crossBetween val="between"/>
        <c:dispUnits>
          <c:builtInUnit val="millions"/>
          <c:dispUnitsLbl>
            <c:layout>
              <c:manualLayout>
                <c:xMode val="edge"/>
                <c:yMode val="edge"/>
                <c:x val="0.12517006802721087"/>
                <c:y val="2.4604593917285755E-2"/>
              </c:manualLayout>
            </c:layout>
            <c:tx>
              <c:rich>
                <a:bodyPr rot="0" vert="horz"/>
                <a:lstStyle/>
                <a:p>
                  <a:pPr algn="ctr">
                    <a:defRPr sz="10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r>
                    <a:rPr lang="pl-PL"/>
                    <a:t>mln EUR</a:t>
                  </a:r>
                </a:p>
              </c:rich>
            </c:tx>
          </c:dispUnitsLbl>
        </c:dispUnits>
      </c:valAx>
      <c:catAx>
        <c:axId val="104163200"/>
        <c:scaling>
          <c:orientation val="minMax"/>
        </c:scaling>
        <c:delete val="1"/>
        <c:axPos val="b"/>
        <c:tickLblPos val="none"/>
        <c:crossAx val="104164736"/>
        <c:crosses val="autoZero"/>
        <c:auto val="1"/>
        <c:lblAlgn val="ctr"/>
        <c:lblOffset val="100"/>
      </c:catAx>
      <c:valAx>
        <c:axId val="104164736"/>
        <c:scaling>
          <c:orientation val="minMax"/>
        </c:scaling>
        <c:axPos val="r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pl-PL"/>
          </a:p>
        </c:txPr>
        <c:crossAx val="104163200"/>
        <c:crosses val="max"/>
        <c:crossBetween val="between"/>
      </c:valAx>
    </c:plotArea>
    <c:legend>
      <c:legendPos val="b"/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pl-PL"/>
        </a:p>
      </c:txPr>
    </c:legend>
    <c:plotVisOnly val="1"/>
    <c:dispBlanksAs val="gap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pl-PL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title>
      <c:tx>
        <c:rich>
          <a:bodyPr/>
          <a:lstStyle/>
          <a:p>
            <a:pPr>
              <a:defRPr sz="1200" i="1">
                <a:latin typeface="Times New Roman" pitchFamily="18" charset="0"/>
                <a:cs typeface="Times New Roman" pitchFamily="18" charset="0"/>
              </a:defRPr>
            </a:pPr>
            <a:r>
              <a:rPr lang="en-US" sz="1200" i="1">
                <a:latin typeface="Times New Roman" pitchFamily="18" charset="0"/>
                <a:cs typeface="Times New Roman" pitchFamily="18" charset="0"/>
              </a:rPr>
              <a:t>Wypłacone środki jako procent przyznanego w umowie dofinansowania</a:t>
            </a:r>
          </a:p>
        </c:rich>
      </c:tx>
      <c:layout>
        <c:manualLayout>
          <c:xMode val="edge"/>
          <c:yMode val="edge"/>
          <c:x val="0.12899854184893594"/>
          <c:y val="2.2160664819944598E-2"/>
        </c:manualLayout>
      </c:layout>
      <c:overlay val="1"/>
    </c:title>
    <c:view3D>
      <c:depthPercent val="100"/>
      <c:rAngAx val="1"/>
    </c:view3D>
    <c:plotArea>
      <c:layout>
        <c:manualLayout>
          <c:layoutTarget val="inner"/>
          <c:xMode val="edge"/>
          <c:yMode val="edge"/>
          <c:x val="0.19199325206698348"/>
          <c:y val="0.13710908020153989"/>
          <c:w val="0.70474693788276466"/>
          <c:h val="0.77375245164176765"/>
        </c:manualLayout>
      </c:layout>
      <c:bar3DChart>
        <c:barDir val="bar"/>
        <c:grouping val="clustered"/>
        <c:ser>
          <c:idx val="0"/>
          <c:order val="0"/>
          <c:spPr>
            <a:solidFill>
              <a:srgbClr val="00B0F0"/>
            </a:solidFill>
            <a:ln>
              <a:solidFill>
                <a:schemeClr val="accent4">
                  <a:lumMod val="75000"/>
                </a:schemeClr>
              </a:solidFill>
            </a:ln>
          </c:spPr>
          <c:dLbls>
            <c:dLbl>
              <c:idx val="0"/>
              <c:layout>
                <c:manualLayout>
                  <c:x val="2.1505376344086141E-2"/>
                  <c:y val="1.8570102135561744E-2"/>
                </c:manualLayout>
              </c:layout>
              <c:showVal val="1"/>
            </c:dLbl>
            <c:dLbl>
              <c:idx val="1"/>
              <c:layout>
                <c:manualLayout>
                  <c:x val="2.1505376344085936E-2"/>
                  <c:y val="1.4856081708449397E-2"/>
                </c:manualLayout>
              </c:layout>
              <c:showVal val="1"/>
            </c:dLbl>
            <c:dLbl>
              <c:idx val="2"/>
              <c:layout>
                <c:manualLayout>
                  <c:x val="1.8817204301075269E-2"/>
                  <c:y val="0"/>
                </c:manualLayout>
              </c:layout>
              <c:showVal val="1"/>
            </c:dLbl>
            <c:dLbl>
              <c:idx val="3"/>
              <c:layout>
                <c:manualLayout>
                  <c:x val="1.6129032258064523E-2"/>
                  <c:y val="7.4280408542247564E-3"/>
                </c:manualLayout>
              </c:layout>
              <c:showVal val="1"/>
            </c:dLbl>
            <c:dLbl>
              <c:idx val="4"/>
              <c:layout>
                <c:manualLayout>
                  <c:x val="1.6129032258064523E-2"/>
                  <c:y val="1.4856081708449397E-2"/>
                </c:manualLayout>
              </c:layout>
              <c:showVal val="1"/>
            </c:dLbl>
            <c:txPr>
              <a:bodyPr/>
              <a:lstStyle/>
              <a:p>
                <a:pPr>
                  <a:defRPr b="1"/>
                </a:pPr>
                <a:endParaRPr lang="pl-PL"/>
              </a:p>
            </c:txPr>
            <c:showVal val="1"/>
          </c:dLbls>
          <c:cat>
            <c:strRef>
              <c:f>'C:\Documents and Settings\furgalskam\Pulpit\Bazy\dane z ŚĆP\dane z ŚCP s\[opracowanie subregiony.xls]Subre'!$A$169:$A$173</c:f>
              <c:strCache>
                <c:ptCount val="5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  <c:pt idx="4">
                  <c:v>poza woj. śląskim</c:v>
                </c:pt>
              </c:strCache>
            </c:strRef>
          </c:cat>
          <c:val>
            <c:numRef>
              <c:f>Obliczenia!$D$35:$D$39</c:f>
              <c:numCache>
                <c:formatCode>0%</c:formatCode>
                <c:ptCount val="5"/>
                <c:pt idx="0">
                  <c:v>0.60996931208921956</c:v>
                </c:pt>
                <c:pt idx="1">
                  <c:v>0.69125862117409964</c:v>
                </c:pt>
                <c:pt idx="2">
                  <c:v>0.69279817042353387</c:v>
                </c:pt>
                <c:pt idx="3">
                  <c:v>0.63698467486048205</c:v>
                </c:pt>
                <c:pt idx="4">
                  <c:v>0.39421986615778093</c:v>
                </c:pt>
              </c:numCache>
            </c:numRef>
          </c:val>
        </c:ser>
        <c:shape val="box"/>
        <c:axId val="104202240"/>
        <c:axId val="104203776"/>
        <c:axId val="0"/>
      </c:bar3DChart>
      <c:catAx>
        <c:axId val="104202240"/>
        <c:scaling>
          <c:orientation val="maxMin"/>
        </c:scaling>
        <c:axPos val="l"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pl-PL"/>
          </a:p>
        </c:txPr>
        <c:crossAx val="104203776"/>
        <c:crosses val="autoZero"/>
        <c:auto val="1"/>
        <c:lblAlgn val="ctr"/>
        <c:lblOffset val="100"/>
      </c:catAx>
      <c:valAx>
        <c:axId val="104203776"/>
        <c:scaling>
          <c:orientation val="minMax"/>
        </c:scaling>
        <c:delete val="1"/>
        <c:axPos val="b"/>
        <c:numFmt formatCode="0%" sourceLinked="1"/>
        <c:tickLblPos val="none"/>
        <c:crossAx val="104202240"/>
        <c:crosses val="max"/>
        <c:crossBetween val="between"/>
      </c:valAx>
      <c:spPr>
        <a:noFill/>
        <a:ln w="25400">
          <a:noFill/>
        </a:ln>
      </c:spPr>
    </c:plotArea>
    <c:plotVisOnly val="1"/>
    <c:dispBlanksAs val="gap"/>
  </c:chart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style val="5"/>
  <c:chart>
    <c:title>
      <c:tx>
        <c:rich>
          <a:bodyPr/>
          <a:lstStyle/>
          <a:p>
            <a:pPr>
              <a:defRPr sz="1200" i="1">
                <a:latin typeface="Times New Roman" pitchFamily="18" charset="0"/>
                <a:cs typeface="Times New Roman" pitchFamily="18" charset="0"/>
              </a:defRPr>
            </a:pPr>
            <a:r>
              <a:rPr lang="pl-PL" sz="1200" i="1">
                <a:latin typeface="Times New Roman" pitchFamily="18" charset="0"/>
                <a:cs typeface="Times New Roman" pitchFamily="18" charset="0"/>
              </a:rPr>
              <a:t>Kwota dotacji przypadająca na 1 przedsiębiorstwo z sektora MŚP</a:t>
            </a:r>
          </a:p>
        </c:rich>
      </c:tx>
    </c:title>
    <c:view3D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spPr>
            <a:ln>
              <a:solidFill>
                <a:sysClr val="windowText" lastClr="000000"/>
              </a:solidFill>
            </a:ln>
          </c:spPr>
          <c:dLbls>
            <c:dLbl>
              <c:idx val="0"/>
              <c:layout>
                <c:manualLayout>
                  <c:x val="3.0188679245282967E-2"/>
                  <c:y val="-2.2535211267605885E-2"/>
                </c:manualLayout>
              </c:layout>
              <c:showVal val="1"/>
            </c:dLbl>
            <c:dLbl>
              <c:idx val="1"/>
              <c:layout>
                <c:manualLayout>
                  <c:x val="2.0125786163521998E-2"/>
                  <c:y val="-2.2535211267605885E-2"/>
                </c:manualLayout>
              </c:layout>
              <c:showVal val="1"/>
            </c:dLbl>
            <c:dLbl>
              <c:idx val="2"/>
              <c:layout>
                <c:manualLayout>
                  <c:x val="3.0188679245282967E-2"/>
                  <c:y val="-4.8826291079812532E-2"/>
                </c:manualLayout>
              </c:layout>
              <c:showVal val="1"/>
            </c:dLbl>
            <c:dLbl>
              <c:idx val="3"/>
              <c:layout>
                <c:manualLayout>
                  <c:x val="2.0125786163521998E-2"/>
                  <c:y val="-2.2535211267605885E-2"/>
                </c:manualLayout>
              </c:layout>
              <c:showVal val="1"/>
            </c:dLbl>
            <c:txPr>
              <a:bodyPr/>
              <a:lstStyle/>
              <a:p>
                <a:pPr>
                  <a:defRPr b="1"/>
                </a:pPr>
                <a:endParaRPr lang="pl-PL"/>
              </a:p>
            </c:txPr>
            <c:showVal val="1"/>
          </c:dLbls>
          <c:cat>
            <c:strRef>
              <c:f>[4]Subre!$B$79:$E$79</c:f>
              <c:strCache>
                <c:ptCount val="4"/>
                <c:pt idx="0">
                  <c:v>centralny</c:v>
                </c:pt>
                <c:pt idx="1">
                  <c:v>południowy</c:v>
                </c:pt>
                <c:pt idx="2">
                  <c:v>północny</c:v>
                </c:pt>
                <c:pt idx="3">
                  <c:v>zachodni</c:v>
                </c:pt>
              </c:strCache>
            </c:strRef>
          </c:cat>
          <c:val>
            <c:numRef>
              <c:f>Obliczenia!$H$36:$K$36</c:f>
              <c:numCache>
                <c:formatCode>#,##0.00_ ;\-#,##0.00\ </c:formatCode>
                <c:ptCount val="4"/>
                <c:pt idx="0">
                  <c:v>329.363041506309</c:v>
                </c:pt>
                <c:pt idx="1">
                  <c:v>464.16412047572476</c:v>
                </c:pt>
                <c:pt idx="2">
                  <c:v>330.18612466216319</c:v>
                </c:pt>
                <c:pt idx="3">
                  <c:v>305.88907553574472</c:v>
                </c:pt>
              </c:numCache>
            </c:numRef>
          </c:val>
        </c:ser>
        <c:shape val="box"/>
        <c:axId val="104220160"/>
        <c:axId val="104221696"/>
        <c:axId val="0"/>
      </c:bar3DChart>
      <c:catAx>
        <c:axId val="10422016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b="1"/>
            </a:pPr>
            <a:endParaRPr lang="pl-PL"/>
          </a:p>
        </c:txPr>
        <c:crossAx val="104221696"/>
        <c:crosses val="autoZero"/>
        <c:auto val="1"/>
        <c:lblAlgn val="ctr"/>
        <c:lblOffset val="100"/>
      </c:catAx>
      <c:valAx>
        <c:axId val="104221696"/>
        <c:scaling>
          <c:orientation val="minMax"/>
        </c:scaling>
        <c:axPos val="l"/>
        <c:majorGridlines/>
        <c:numFmt formatCode="#,##0.00_ ;\-#,##0.00\ " sourceLinked="1"/>
        <c:tickLblPos val="nextTo"/>
        <c:txPr>
          <a:bodyPr rot="0" vert="horz"/>
          <a:lstStyle/>
          <a:p>
            <a:pPr>
              <a:defRPr/>
            </a:pPr>
            <a:endParaRPr lang="pl-PL"/>
          </a:p>
        </c:txPr>
        <c:crossAx val="104220160"/>
        <c:crosses val="autoZero"/>
        <c:crossBetween val="between"/>
      </c:valAx>
    </c:plotArea>
    <c:plotVisOnly val="1"/>
    <c:dispBlanksAs val="gap"/>
  </c:chart>
  <c:externalData r:id="rId1"/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0.07745</cdr:x>
      <cdr:y>0.07598</cdr:y>
    </cdr:from>
    <cdr:to>
      <cdr:x>0.16695</cdr:x>
      <cdr:y>0.15196</cdr:y>
    </cdr:to>
    <cdr:sp macro="" textlink="">
      <cdr:nvSpPr>
        <cdr:cNvPr id="2" name="pole tekstowe 1"/>
        <cdr:cNvSpPr txBox="1"/>
      </cdr:nvSpPr>
      <cdr:spPr>
        <a:xfrm xmlns:a="http://schemas.openxmlformats.org/drawingml/2006/main">
          <a:off x="428625" y="295276"/>
          <a:ext cx="495301" cy="29527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pl-PL" sz="1000"/>
            <a:t>EUR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0.0288</cdr:x>
      <cdr:y>0.17885</cdr:y>
    </cdr:from>
    <cdr:to>
      <cdr:x>0.11575</cdr:x>
      <cdr:y>0.24703</cdr:y>
    </cdr:to>
    <cdr:sp macro="" textlink="">
      <cdr:nvSpPr>
        <cdr:cNvPr id="2" name="pole tekstowe 1"/>
        <cdr:cNvSpPr txBox="1"/>
      </cdr:nvSpPr>
      <cdr:spPr>
        <a:xfrm xmlns:a="http://schemas.openxmlformats.org/drawingml/2006/main">
          <a:off x="163786" y="814305"/>
          <a:ext cx="494628" cy="3104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pl-PL" sz="1100"/>
            <a:t>EUR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0.07057</cdr:x>
      <cdr:y>0.11559</cdr:y>
    </cdr:from>
    <cdr:to>
      <cdr:x>0.16007</cdr:x>
      <cdr:y>0.19157</cdr:y>
    </cdr:to>
    <cdr:sp macro="" textlink="">
      <cdr:nvSpPr>
        <cdr:cNvPr id="2" name="pole tekstowe 1"/>
        <cdr:cNvSpPr txBox="1"/>
      </cdr:nvSpPr>
      <cdr:spPr>
        <a:xfrm xmlns:a="http://schemas.openxmlformats.org/drawingml/2006/main">
          <a:off x="390510" y="444721"/>
          <a:ext cx="495295" cy="29232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pl-PL" sz="1000" b="0"/>
            <a:t>EUR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0.0283</cdr:x>
      <cdr:y>0.13803</cdr:y>
    </cdr:from>
    <cdr:to>
      <cdr:x>0.13064</cdr:x>
      <cdr:y>0.22985</cdr:y>
    </cdr:to>
    <cdr:sp macro="" textlink="">
      <cdr:nvSpPr>
        <cdr:cNvPr id="3" name="pole tekstowe 1"/>
        <cdr:cNvSpPr txBox="1"/>
      </cdr:nvSpPr>
      <cdr:spPr>
        <a:xfrm xmlns:a="http://schemas.openxmlformats.org/drawingml/2006/main">
          <a:off x="142875" y="466725"/>
          <a:ext cx="516608" cy="31047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r>
            <a:rPr lang="pl-PL" sz="1000"/>
            <a:t>EUR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0.0488</cdr:x>
      <cdr:y>0.09428</cdr:y>
    </cdr:from>
    <cdr:to>
      <cdr:x>0.13576</cdr:x>
      <cdr:y>0.16246</cdr:y>
    </cdr:to>
    <cdr:sp macro="" textlink="">
      <cdr:nvSpPr>
        <cdr:cNvPr id="2" name="pole tekstowe 1"/>
        <cdr:cNvSpPr txBox="1"/>
      </cdr:nvSpPr>
      <cdr:spPr>
        <a:xfrm xmlns:a="http://schemas.openxmlformats.org/drawingml/2006/main">
          <a:off x="301694" y="425665"/>
          <a:ext cx="537563" cy="30782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pl-PL" sz="1100"/>
            <a:t>EUR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0.0087</cdr:x>
      <cdr:y>0.08471</cdr:y>
    </cdr:from>
    <cdr:to>
      <cdr:x>0.09566</cdr:x>
      <cdr:y>0.15289</cdr:y>
    </cdr:to>
    <cdr:sp macro="" textlink="">
      <cdr:nvSpPr>
        <cdr:cNvPr id="2" name="pole tekstowe 1"/>
        <cdr:cNvSpPr txBox="1"/>
      </cdr:nvSpPr>
      <cdr:spPr>
        <a:xfrm xmlns:a="http://schemas.openxmlformats.org/drawingml/2006/main">
          <a:off x="47632" y="390517"/>
          <a:ext cx="476269" cy="31431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pl-PL" sz="1100"/>
            <a:t>EUR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0.06171</cdr:x>
      <cdr:y>0.11616</cdr:y>
    </cdr:from>
    <cdr:to>
      <cdr:x>0.14873</cdr:x>
      <cdr:y>0.18182</cdr:y>
    </cdr:to>
    <cdr:sp macro="" textlink="">
      <cdr:nvSpPr>
        <cdr:cNvPr id="2" name="pole tekstowe 1"/>
        <cdr:cNvSpPr txBox="1"/>
      </cdr:nvSpPr>
      <cdr:spPr>
        <a:xfrm xmlns:a="http://schemas.openxmlformats.org/drawingml/2006/main">
          <a:off x="371474" y="438150"/>
          <a:ext cx="523875" cy="2476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pl-PL" sz="1100"/>
            <a:t>EUR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0.05673</cdr:x>
      <cdr:y>0.11695</cdr:y>
    </cdr:from>
    <cdr:to>
      <cdr:x>0.16207</cdr:x>
      <cdr:y>0.18854</cdr:y>
    </cdr:to>
    <cdr:sp macro="" textlink="">
      <cdr:nvSpPr>
        <cdr:cNvPr id="2" name="pole tekstowe 1"/>
        <cdr:cNvSpPr txBox="1"/>
      </cdr:nvSpPr>
      <cdr:spPr>
        <a:xfrm xmlns:a="http://schemas.openxmlformats.org/drawingml/2006/main">
          <a:off x="333375" y="466725"/>
          <a:ext cx="619125" cy="2857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pl-PL" sz="1100"/>
            <a:t>EUR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0.63872</cdr:x>
      <cdr:y>0.63222</cdr:y>
    </cdr:from>
    <cdr:to>
      <cdr:x>0.88423</cdr:x>
      <cdr:y>0.76312</cdr:y>
    </cdr:to>
    <cdr:sp macro="" textlink="">
      <cdr:nvSpPr>
        <cdr:cNvPr id="3" name="pole tekstowe 2"/>
        <cdr:cNvSpPr txBox="1"/>
      </cdr:nvSpPr>
      <cdr:spPr>
        <a:xfrm xmlns:a="http://schemas.openxmlformats.org/drawingml/2006/main">
          <a:off x="3047996" y="2162176"/>
          <a:ext cx="1171579" cy="44767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 rtl="0">
            <a:defRPr sz="10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r>
            <a:rPr lang="en-US" sz="10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rPr>
            <a:t>100%</a:t>
          </a:r>
          <a:r>
            <a:rPr lang="pl-PL" sz="10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rPr>
            <a:t> </a:t>
          </a:r>
        </a:p>
        <a:p xmlns:a="http://schemas.openxmlformats.org/drawingml/2006/main">
          <a:pPr algn="ctr" rtl="0">
            <a:defRPr sz="10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r>
            <a:rPr lang="pl-PL" sz="10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rPr>
            <a:t>28,82 mln EUR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0.05739</cdr:x>
      <cdr:y>0.14463</cdr:y>
    </cdr:from>
    <cdr:to>
      <cdr:x>0.14435</cdr:x>
      <cdr:y>0.21281</cdr:y>
    </cdr:to>
    <cdr:sp macro="" textlink="">
      <cdr:nvSpPr>
        <cdr:cNvPr id="2" name="pole tekstowe 1"/>
        <cdr:cNvSpPr txBox="1"/>
      </cdr:nvSpPr>
      <cdr:spPr>
        <a:xfrm xmlns:a="http://schemas.openxmlformats.org/drawingml/2006/main">
          <a:off x="314332" y="666742"/>
          <a:ext cx="476269" cy="31431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pl-PL" sz="1100"/>
            <a:t>EUR</a:t>
          </a:r>
        </a:p>
      </cdr:txBody>
    </cdr:sp>
  </cdr:relSizeAnchor>
</c:userShape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695138-75A5-4DC9-B652-5D4E8B1FD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53</Pages>
  <Words>8731</Words>
  <Characters>52386</Characters>
  <Application>Microsoft Office Word</Application>
  <DocSecurity>0</DocSecurity>
  <Lines>436</Lines>
  <Paragraphs>121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60996</CharactersWithSpaces>
  <SharedDoc>false</SharedDoc>
  <HLinks>
    <vt:vector size="114" baseType="variant">
      <vt:variant>
        <vt:i4>1703985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_Toc352318132</vt:lpwstr>
      </vt:variant>
      <vt:variant>
        <vt:i4>1703985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_Toc352318131</vt:lpwstr>
      </vt:variant>
      <vt:variant>
        <vt:i4>1703985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_Toc352318130</vt:lpwstr>
      </vt:variant>
      <vt:variant>
        <vt:i4>1769521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_Toc352318129</vt:lpwstr>
      </vt:variant>
      <vt:variant>
        <vt:i4>1769521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_Toc352318128</vt:lpwstr>
      </vt:variant>
      <vt:variant>
        <vt:i4>1769521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_Toc352318127</vt:lpwstr>
      </vt:variant>
      <vt:variant>
        <vt:i4>1769521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_Toc352318126</vt:lpwstr>
      </vt:variant>
      <vt:variant>
        <vt:i4>1769521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_Toc352318125</vt:lpwstr>
      </vt:variant>
      <vt:variant>
        <vt:i4>1769521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_Toc352318124</vt:lpwstr>
      </vt:variant>
      <vt:variant>
        <vt:i4>1769521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_Toc352318123</vt:lpwstr>
      </vt:variant>
      <vt:variant>
        <vt:i4>1769521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_Toc352318122</vt:lpwstr>
      </vt:variant>
      <vt:variant>
        <vt:i4>1769521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_Toc352318121</vt:lpwstr>
      </vt:variant>
      <vt:variant>
        <vt:i4>1769521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_Toc352318120</vt:lpwstr>
      </vt:variant>
      <vt:variant>
        <vt:i4>1572913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_Toc352318119</vt:lpwstr>
      </vt:variant>
      <vt:variant>
        <vt:i4>1572913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_Toc352318118</vt:lpwstr>
      </vt:variant>
      <vt:variant>
        <vt:i4>1572913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_Toc352318117</vt:lpwstr>
      </vt:variant>
      <vt:variant>
        <vt:i4>1572913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_Toc352318116</vt:lpwstr>
      </vt:variant>
      <vt:variant>
        <vt:i4>1572913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_Toc352318115</vt:lpwstr>
      </vt:variant>
      <vt:variant>
        <vt:i4>1572913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_Toc352318114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janocham</dc:creator>
  <cp:keywords/>
  <dc:description/>
  <cp:lastModifiedBy>UMWS</cp:lastModifiedBy>
  <cp:revision>4</cp:revision>
  <cp:lastPrinted>2013-03-28T07:16:00Z</cp:lastPrinted>
  <dcterms:created xsi:type="dcterms:W3CDTF">2013-05-20T08:41:00Z</dcterms:created>
  <dcterms:modified xsi:type="dcterms:W3CDTF">2013-05-20T08:46:00Z</dcterms:modified>
</cp:coreProperties>
</file>